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rPr>
          <w:rFonts w:hint="eastAsia" w:ascii="仿宋_GB2312" w:eastAsia="仿宋_GB2312"/>
          <w:color w:val="FF0000"/>
          <w:sz w:val="28"/>
          <w:szCs w:val="28"/>
        </w:rPr>
      </w:pPr>
    </w:p>
    <w:p>
      <w:pPr>
        <w:spacing w:before="360" w:beforeLines="150"/>
        <w:ind w:firstLine="560" w:firstLineChars="200"/>
        <w:rPr>
          <w:rFonts w:ascii="仿宋_GB2312" w:eastAsia="仿宋_GB2312"/>
          <w:color w:val="FF0000"/>
          <w:sz w:val="28"/>
          <w:szCs w:val="28"/>
        </w:rPr>
      </w:pPr>
    </w:p>
    <w:p>
      <w:pPr>
        <w:spacing w:before="360" w:beforeLines="150"/>
        <w:ind w:firstLine="560" w:firstLineChars="200"/>
        <w:rPr>
          <w:rFonts w:ascii="仿宋_GB2312" w:eastAsia="仿宋_GB2312"/>
          <w:color w:val="FF0000"/>
          <w:sz w:val="28"/>
          <w:szCs w:val="28"/>
        </w:rPr>
      </w:pPr>
    </w:p>
    <w:p>
      <w:pPr>
        <w:spacing w:before="360" w:beforeLines="150"/>
        <w:jc w:val="center"/>
        <w:rPr>
          <w:rFonts w:ascii="方正魏碑简体" w:eastAsia="方正魏碑简体"/>
          <w:color w:val="FF0000"/>
          <w:sz w:val="96"/>
          <w:szCs w:val="96"/>
        </w:rPr>
      </w:pPr>
      <w:r>
        <w:rPr>
          <w:rFonts w:hint="eastAsia" w:ascii="方正魏碑简体" w:eastAsia="方正魏碑简体"/>
          <w:color w:val="FF0000"/>
          <w:sz w:val="96"/>
          <w:szCs w:val="96"/>
        </w:rPr>
        <w:t>中</w:t>
      </w:r>
      <w:r>
        <w:rPr>
          <w:rFonts w:ascii="方正魏碑简体" w:eastAsia="方正魏碑简体"/>
          <w:color w:val="FF0000"/>
          <w:sz w:val="96"/>
          <w:szCs w:val="96"/>
        </w:rPr>
        <w:t xml:space="preserve"> </w:t>
      </w:r>
      <w:r>
        <w:rPr>
          <w:rFonts w:hint="eastAsia" w:ascii="方正魏碑简体" w:eastAsia="方正魏碑简体"/>
          <w:color w:val="FF0000"/>
          <w:sz w:val="96"/>
          <w:szCs w:val="96"/>
        </w:rPr>
        <w:t>国</w:t>
      </w:r>
      <w:r>
        <w:rPr>
          <w:rFonts w:ascii="方正魏碑简体" w:eastAsia="方正魏碑简体"/>
          <w:color w:val="FF0000"/>
          <w:sz w:val="96"/>
          <w:szCs w:val="96"/>
        </w:rPr>
        <w:t xml:space="preserve"> </w:t>
      </w:r>
      <w:r>
        <w:rPr>
          <w:rFonts w:hint="eastAsia" w:ascii="方正魏碑简体" w:eastAsia="方正魏碑简体"/>
          <w:color w:val="FF0000"/>
          <w:sz w:val="96"/>
          <w:szCs w:val="96"/>
        </w:rPr>
        <w:t>工</w:t>
      </w:r>
      <w:r>
        <w:rPr>
          <w:rFonts w:ascii="方正魏碑简体" w:eastAsia="方正魏碑简体"/>
          <w:color w:val="FF0000"/>
          <w:sz w:val="96"/>
          <w:szCs w:val="96"/>
        </w:rPr>
        <w:t xml:space="preserve"> </w:t>
      </w:r>
      <w:r>
        <w:rPr>
          <w:rFonts w:hint="eastAsia" w:ascii="方正魏碑简体" w:eastAsia="方正魏碑简体"/>
          <w:color w:val="FF0000"/>
          <w:sz w:val="96"/>
          <w:szCs w:val="96"/>
        </w:rPr>
        <w:t>业</w:t>
      </w:r>
      <w:r>
        <w:rPr>
          <w:rFonts w:ascii="方正魏碑简体" w:eastAsia="方正魏碑简体"/>
          <w:color w:val="FF0000"/>
          <w:sz w:val="96"/>
          <w:szCs w:val="96"/>
        </w:rPr>
        <w:t xml:space="preserve"> </w:t>
      </w:r>
      <w:r>
        <w:rPr>
          <w:rFonts w:hint="eastAsia" w:ascii="方正魏碑简体" w:eastAsia="方正魏碑简体"/>
          <w:color w:val="FF0000"/>
          <w:sz w:val="96"/>
          <w:szCs w:val="96"/>
        </w:rPr>
        <w:t>大</w:t>
      </w:r>
      <w:r>
        <w:rPr>
          <w:rFonts w:ascii="方正魏碑简体" w:eastAsia="方正魏碑简体"/>
          <w:color w:val="FF0000"/>
          <w:sz w:val="96"/>
          <w:szCs w:val="96"/>
        </w:rPr>
        <w:t xml:space="preserve"> </w:t>
      </w:r>
      <w:r>
        <w:rPr>
          <w:rFonts w:hint="eastAsia" w:ascii="方正魏碑简体" w:eastAsia="方正魏碑简体"/>
          <w:color w:val="FF0000"/>
          <w:sz w:val="96"/>
          <w:szCs w:val="96"/>
        </w:rPr>
        <w:t>奖</w:t>
      </w:r>
    </w:p>
    <w:p>
      <w:pPr>
        <w:widowControl/>
        <w:snapToGrid w:val="0"/>
        <w:spacing w:after="156"/>
        <w:jc w:val="center"/>
        <w:rPr>
          <w:rFonts w:ascii="黑体" w:hAnsi="宋体" w:eastAsia="黑体" w:cs="宋体"/>
          <w:b/>
          <w:color w:val="000080"/>
          <w:kern w:val="0"/>
          <w:sz w:val="72"/>
          <w:szCs w:val="72"/>
        </w:rPr>
      </w:pPr>
      <w:r>
        <w:rPr>
          <w:rFonts w:hint="eastAsia" w:ascii="方正魏碑简体" w:eastAsia="方正魏碑简体"/>
          <w:color w:val="FF0000"/>
          <w:sz w:val="92"/>
          <w:szCs w:val="92"/>
        </w:rPr>
        <w:t>企业申报书</w:t>
      </w:r>
    </w:p>
    <w:p>
      <w:pPr>
        <w:widowControl/>
        <w:snapToGrid w:val="0"/>
        <w:spacing w:after="156"/>
        <w:jc w:val="center"/>
        <w:rPr>
          <w:rFonts w:ascii="Times New Roman" w:hAnsi="宋体" w:eastAsia="仿宋_GB2312" w:cs="宋体"/>
          <w:b/>
          <w:color w:val="000080"/>
          <w:kern w:val="0"/>
          <w:sz w:val="32"/>
          <w:szCs w:val="24"/>
        </w:rPr>
      </w:pPr>
      <w:r>
        <w:rPr>
          <w:rFonts w:hint="eastAsia" w:ascii="Times New Roman" w:hAnsi="宋体" w:eastAsia="仿宋_GB2312" w:cs="宋体"/>
          <w:b/>
          <w:color w:val="000080"/>
          <w:kern w:val="0"/>
          <w:sz w:val="32"/>
          <w:szCs w:val="24"/>
        </w:rPr>
        <w:t>2021版</w:t>
      </w:r>
    </w:p>
    <w:p>
      <w:pPr>
        <w:widowControl/>
        <w:snapToGrid w:val="0"/>
        <w:spacing w:after="156"/>
        <w:jc w:val="left"/>
        <w:rPr>
          <w:rFonts w:ascii="Times New Roman" w:hAnsi="宋体" w:eastAsia="仿宋_GB2312" w:cs="宋体"/>
          <w:b/>
          <w:color w:val="000080"/>
          <w:kern w:val="0"/>
          <w:sz w:val="32"/>
          <w:szCs w:val="24"/>
        </w:rPr>
      </w:pPr>
    </w:p>
    <w:p>
      <w:pPr>
        <w:widowControl/>
        <w:snapToGrid w:val="0"/>
        <w:spacing w:after="156"/>
        <w:jc w:val="left"/>
        <w:rPr>
          <w:rFonts w:ascii="Times New Roman" w:hAnsi="宋体" w:eastAsia="仿宋_GB2312" w:cs="宋体"/>
          <w:b/>
          <w:color w:val="000080"/>
          <w:kern w:val="0"/>
          <w:sz w:val="32"/>
          <w:szCs w:val="24"/>
        </w:rPr>
      </w:pPr>
    </w:p>
    <w:p>
      <w:pPr>
        <w:widowControl/>
        <w:snapToGrid w:val="0"/>
        <w:spacing w:after="156"/>
        <w:jc w:val="left"/>
        <w:rPr>
          <w:rFonts w:ascii="Times New Roman" w:hAnsi="宋体" w:eastAsia="仿宋_GB2312" w:cs="宋体"/>
          <w:b/>
          <w:color w:val="000080"/>
          <w:kern w:val="0"/>
          <w:sz w:val="32"/>
          <w:szCs w:val="24"/>
        </w:rPr>
      </w:pPr>
    </w:p>
    <w:p>
      <w:pPr>
        <w:widowControl/>
        <w:snapToGrid w:val="0"/>
        <w:spacing w:after="156"/>
        <w:jc w:val="left"/>
        <w:rPr>
          <w:rFonts w:ascii="Times New Roman" w:hAnsi="宋体" w:eastAsia="仿宋_GB2312" w:cs="宋体"/>
          <w:b/>
          <w:color w:val="000080"/>
          <w:kern w:val="0"/>
          <w:sz w:val="32"/>
          <w:szCs w:val="24"/>
        </w:rPr>
      </w:pPr>
    </w:p>
    <w:p>
      <w:pPr>
        <w:widowControl/>
        <w:snapToGrid w:val="0"/>
        <w:spacing w:after="156"/>
        <w:jc w:val="left"/>
        <w:rPr>
          <w:rFonts w:ascii="Times New Roman" w:hAnsi="宋体" w:eastAsia="仿宋_GB2312" w:cs="宋体"/>
          <w:b/>
          <w:color w:val="000080"/>
          <w:kern w:val="0"/>
          <w:sz w:val="32"/>
          <w:szCs w:val="24"/>
        </w:rPr>
      </w:pPr>
    </w:p>
    <w:p>
      <w:pPr>
        <w:widowControl/>
        <w:snapToGrid w:val="0"/>
        <w:spacing w:after="156"/>
        <w:jc w:val="left"/>
        <w:rPr>
          <w:rFonts w:ascii="宋体" w:cs="宋体"/>
          <w:kern w:val="0"/>
          <w:sz w:val="24"/>
          <w:szCs w:val="24"/>
        </w:rPr>
      </w:pPr>
      <w:r>
        <w:rPr>
          <w:rFonts w:hint="eastAsia" w:ascii="Times New Roman" w:hAnsi="宋体" w:eastAsia="仿宋_GB2312" w:cs="宋体"/>
          <w:b/>
          <w:color w:val="000080"/>
          <w:kern w:val="0"/>
          <w:sz w:val="32"/>
          <w:szCs w:val="24"/>
        </w:rPr>
        <w:t>企业名称（公章）：</w:t>
      </w:r>
    </w:p>
    <w:p>
      <w:pPr>
        <w:widowControl/>
        <w:snapToGrid w:val="0"/>
        <w:spacing w:before="156" w:after="156"/>
        <w:jc w:val="left"/>
        <w:rPr>
          <w:rFonts w:ascii="宋体" w:cs="宋体"/>
          <w:kern w:val="0"/>
          <w:sz w:val="24"/>
          <w:szCs w:val="24"/>
        </w:rPr>
      </w:pPr>
      <w:r>
        <w:rPr>
          <w:rFonts w:hint="eastAsia" w:ascii="Times New Roman" w:hAnsi="宋体" w:eastAsia="仿宋_GB2312" w:cs="宋体"/>
          <w:b/>
          <w:color w:val="000080"/>
          <w:kern w:val="0"/>
          <w:sz w:val="32"/>
          <w:szCs w:val="24"/>
        </w:rPr>
        <w:t>申报日期：</w:t>
      </w:r>
      <w:r>
        <w:rPr>
          <w:rFonts w:ascii="Times New Roman" w:hAnsi="Times New Roman" w:eastAsia="仿宋_GB2312"/>
          <w:b/>
          <w:color w:val="000080"/>
          <w:kern w:val="0"/>
          <w:sz w:val="32"/>
          <w:szCs w:val="24"/>
        </w:rPr>
        <w:t xml:space="preserve">           </w:t>
      </w:r>
      <w:r>
        <w:rPr>
          <w:rFonts w:hint="eastAsia" w:ascii="Times New Roman" w:hAnsi="宋体" w:eastAsia="仿宋_GB2312" w:cs="宋体"/>
          <w:b/>
          <w:color w:val="000080"/>
          <w:kern w:val="0"/>
          <w:sz w:val="32"/>
          <w:szCs w:val="24"/>
        </w:rPr>
        <w:t>年</w:t>
      </w:r>
      <w:r>
        <w:rPr>
          <w:rFonts w:ascii="Times New Roman" w:hAnsi="Times New Roman" w:eastAsia="仿宋_GB2312"/>
          <w:b/>
          <w:color w:val="000080"/>
          <w:kern w:val="0"/>
          <w:sz w:val="32"/>
          <w:szCs w:val="24"/>
        </w:rPr>
        <w:t xml:space="preserve">     </w:t>
      </w:r>
      <w:r>
        <w:rPr>
          <w:rFonts w:hint="eastAsia" w:ascii="Times New Roman" w:hAnsi="宋体" w:eastAsia="仿宋_GB2312" w:cs="宋体"/>
          <w:b/>
          <w:color w:val="000080"/>
          <w:kern w:val="0"/>
          <w:sz w:val="32"/>
          <w:szCs w:val="24"/>
        </w:rPr>
        <w:t>月</w:t>
      </w:r>
      <w:r>
        <w:rPr>
          <w:rFonts w:ascii="Times New Roman" w:hAnsi="Times New Roman" w:eastAsia="仿宋_GB2312"/>
          <w:b/>
          <w:color w:val="000080"/>
          <w:kern w:val="0"/>
          <w:sz w:val="32"/>
          <w:szCs w:val="24"/>
        </w:rPr>
        <w:t xml:space="preserve">     </w:t>
      </w:r>
      <w:r>
        <w:rPr>
          <w:rFonts w:hint="eastAsia" w:ascii="Times New Roman" w:hAnsi="宋体" w:eastAsia="仿宋_GB2312" w:cs="宋体"/>
          <w:b/>
          <w:color w:val="000080"/>
          <w:kern w:val="0"/>
          <w:sz w:val="32"/>
          <w:szCs w:val="24"/>
        </w:rPr>
        <w:t>日</w:t>
      </w:r>
    </w:p>
    <w:p>
      <w:pPr>
        <w:widowControl/>
        <w:adjustRightInd w:val="0"/>
        <w:snapToGrid w:val="0"/>
        <w:jc w:val="left"/>
        <w:rPr>
          <w:rFonts w:ascii="宋体" w:cs="宋体"/>
          <w:kern w:val="0"/>
          <w:sz w:val="24"/>
          <w:szCs w:val="24"/>
        </w:rPr>
      </w:pPr>
      <w:r>
        <w:rPr>
          <w:rFonts w:hint="eastAsia" w:ascii="方正仿宋_GBK" w:hAnsi="宋体" w:eastAsia="仿宋_GB2312" w:cs="宋体"/>
          <w:b/>
          <w:color w:val="000080"/>
          <w:kern w:val="0"/>
          <w:sz w:val="32"/>
          <w:szCs w:val="24"/>
        </w:rPr>
        <w:t>统一社会信用代码：</w:t>
      </w:r>
      <w:r>
        <w:rPr>
          <w:rFonts w:hint="eastAsia" w:ascii="方正仿宋_GBK" w:hAnsi="宋体" w:eastAsia="仿宋_GB2312" w:cs="宋体"/>
          <w:b/>
          <w:bCs/>
          <w:color w:val="000080"/>
          <w:kern w:val="0"/>
          <w:sz w:val="32"/>
          <w:szCs w:val="24"/>
        </w:rPr>
        <w:t>□□□□□□□□□□□□□□□□□□</w:t>
      </w:r>
    </w:p>
    <w:p>
      <w:pPr>
        <w:widowControl/>
        <w:adjustRightInd w:val="0"/>
        <w:snapToGrid w:val="0"/>
        <w:jc w:val="left"/>
        <w:rPr>
          <w:rFonts w:ascii="宋体" w:cs="宋体"/>
          <w:kern w:val="0"/>
          <w:sz w:val="24"/>
          <w:szCs w:val="24"/>
        </w:rPr>
      </w:pPr>
    </w:p>
    <w:p>
      <w:pPr>
        <w:widowControl/>
        <w:snapToGrid w:val="0"/>
        <w:jc w:val="left"/>
        <w:rPr>
          <w:rFonts w:ascii="宋体" w:cs="宋体"/>
          <w:kern w:val="0"/>
          <w:sz w:val="24"/>
          <w:szCs w:val="24"/>
        </w:rPr>
      </w:pPr>
      <w:r>
        <w:rPr>
          <w:rFonts w:ascii="Times New Roman" w:hAnsi="Times New Roman"/>
          <w:b/>
          <w:bCs/>
          <w:color w:val="000080"/>
          <w:kern w:val="0"/>
          <w:sz w:val="28"/>
          <w:szCs w:val="24"/>
        </w:rPr>
        <w:t> </w:t>
      </w:r>
    </w:p>
    <w:p>
      <w:pPr>
        <w:widowControl/>
        <w:snapToGrid w:val="0"/>
        <w:spacing w:before="168" w:beforeLines="70"/>
        <w:jc w:val="left"/>
        <w:rPr>
          <w:rFonts w:ascii="Times New Roman" w:hAnsi="Times New Roman"/>
          <w:b/>
          <w:bCs/>
          <w:color w:val="000080"/>
          <w:kern w:val="0"/>
          <w:sz w:val="28"/>
          <w:szCs w:val="24"/>
        </w:rPr>
      </w:pPr>
    </w:p>
    <w:p>
      <w:pPr>
        <w:widowControl/>
        <w:snapToGrid w:val="0"/>
        <w:jc w:val="center"/>
        <w:rPr>
          <w:rFonts w:ascii="宋体" w:cs="宋体"/>
          <w:kern w:val="0"/>
          <w:sz w:val="24"/>
          <w:szCs w:val="24"/>
        </w:rPr>
      </w:pPr>
      <w:bookmarkStart w:id="0" w:name="_GoBack"/>
      <w:bookmarkEnd w:id="0"/>
      <w:r>
        <w:rPr>
          <w:rFonts w:hint="eastAsia" w:ascii="Times New Roman" w:hAnsi="宋体" w:eastAsia="黑体" w:cs="宋体"/>
          <w:bCs/>
          <w:color w:val="000080"/>
          <w:kern w:val="0"/>
          <w:sz w:val="32"/>
          <w:szCs w:val="24"/>
        </w:rPr>
        <w:t>中国工业大奖工作委员会</w:t>
      </w:r>
    </w:p>
    <w:p>
      <w:pPr>
        <w:widowControl/>
        <w:snapToGrid w:val="0"/>
        <w:jc w:val="left"/>
      </w:pPr>
    </w:p>
    <w:p>
      <w:pPr>
        <w:widowControl/>
        <w:snapToGrid w:val="0"/>
        <w:jc w:val="left"/>
        <w:rPr>
          <w:rFonts w:ascii="宋体" w:cs="宋体"/>
          <w:kern w:val="0"/>
          <w:sz w:val="24"/>
          <w:szCs w:val="24"/>
        </w:rPr>
      </w:pPr>
      <w:r>
        <w:rPr>
          <w:rFonts w:ascii="Times New Roman" w:hAnsi="Times New Roman"/>
          <w:color w:val="000000"/>
          <w:kern w:val="0"/>
          <w:sz w:val="24"/>
          <w:szCs w:val="24"/>
        </w:rPr>
        <w:t> </w:t>
      </w:r>
      <w:r>
        <w:rPr>
          <w:rFonts w:ascii="Times New Roman" w:hAnsi="Times New Roman"/>
          <w:color w:val="000000"/>
          <w:kern w:val="0"/>
          <w:sz w:val="16"/>
          <w:szCs w:val="24"/>
        </w:rPr>
        <w:t>©</w:t>
      </w:r>
      <w:r>
        <w:rPr>
          <w:rFonts w:hint="eastAsia" w:ascii="Times New Roman" w:hAnsi="Times New Roman" w:cs="宋体"/>
          <w:color w:val="000000"/>
          <w:kern w:val="0"/>
          <w:sz w:val="16"/>
          <w:szCs w:val="24"/>
        </w:rPr>
        <w:t>中国工业大奖工作委员会版</w:t>
      </w:r>
      <w:r>
        <w:rPr>
          <w:rFonts w:hint="eastAsia" w:ascii="Times New Roman" w:hAnsi="宋体" w:cs="宋体"/>
          <w:color w:val="000000"/>
          <w:kern w:val="0"/>
          <w:sz w:val="16"/>
          <w:szCs w:val="24"/>
        </w:rPr>
        <w:t>权</w:t>
      </w:r>
      <w:r>
        <w:rPr>
          <w:rFonts w:hint="eastAsia" w:ascii="Times New Roman" w:hAnsi="Times New Roman" w:cs="宋体"/>
          <w:color w:val="000000"/>
          <w:kern w:val="0"/>
          <w:sz w:val="16"/>
          <w:szCs w:val="24"/>
        </w:rPr>
        <w:t>所有</w:t>
      </w:r>
    </w:p>
    <w:p>
      <w:pPr>
        <w:widowControl/>
        <w:spacing w:before="100" w:beforeAutospacing="1" w:after="100" w:afterAutospacing="1"/>
        <w:jc w:val="left"/>
        <w:rPr>
          <w:rFonts w:ascii="Times New Roman" w:hAnsi="Times New Roman"/>
          <w:color w:val="000000"/>
          <w:sz w:val="14"/>
          <w:szCs w:val="24"/>
        </w:rPr>
        <w:sectPr>
          <w:footerReference r:id="rId3" w:type="default"/>
          <w:footerReference r:id="rId4" w:type="even"/>
          <w:pgSz w:w="12240" w:h="15840"/>
          <w:pgMar w:top="1440" w:right="1800" w:bottom="1440" w:left="1800" w:header="720" w:footer="720" w:gutter="0"/>
          <w:cols w:space="720" w:num="1"/>
        </w:sectPr>
      </w:pPr>
    </w:p>
    <w:p>
      <w:pPr>
        <w:widowControl/>
        <w:snapToGrid w:val="0"/>
        <w:spacing w:line="360" w:lineRule="exact"/>
        <w:jc w:val="center"/>
        <w:rPr>
          <w:rFonts w:ascii="宋体" w:cs="宋体"/>
          <w:kern w:val="0"/>
          <w:sz w:val="24"/>
          <w:szCs w:val="24"/>
        </w:rPr>
      </w:pPr>
      <w:r>
        <w:rPr>
          <w:rFonts w:ascii="黑体" w:hAnsi="宋体" w:eastAsia="黑体" w:cs="宋体"/>
          <w:color w:val="000000"/>
          <w:kern w:val="0"/>
          <w:sz w:val="18"/>
          <w:szCs w:val="18"/>
        </w:rPr>
        <w:t> </w:t>
      </w:r>
    </w:p>
    <w:p>
      <w:pPr>
        <w:widowControl/>
        <w:snapToGrid w:val="0"/>
        <w:spacing w:after="360" w:line="520" w:lineRule="exact"/>
        <w:jc w:val="center"/>
        <w:rPr>
          <w:rFonts w:ascii="宋体" w:cs="宋体"/>
          <w:kern w:val="0"/>
          <w:sz w:val="24"/>
          <w:szCs w:val="24"/>
        </w:rPr>
      </w:pPr>
      <w:r>
        <w:rPr>
          <w:rFonts w:hint="eastAsia" w:ascii="黑体" w:hAnsi="宋体" w:eastAsia="黑体" w:cs="宋体"/>
          <w:color w:val="000000"/>
          <w:kern w:val="0"/>
          <w:sz w:val="36"/>
          <w:szCs w:val="36"/>
        </w:rPr>
        <w:t>填</w:t>
      </w:r>
      <w:r>
        <w:rPr>
          <w:rFonts w:ascii="黑体" w:hAnsi="宋体" w:eastAsia="黑体" w:cs="宋体"/>
          <w:color w:val="000000"/>
          <w:kern w:val="0"/>
          <w:sz w:val="36"/>
          <w:szCs w:val="36"/>
        </w:rPr>
        <w:t xml:space="preserve"> </w:t>
      </w:r>
      <w:r>
        <w:rPr>
          <w:rFonts w:hint="eastAsia" w:ascii="黑体" w:hAnsi="宋体" w:eastAsia="黑体" w:cs="宋体"/>
          <w:color w:val="000000"/>
          <w:kern w:val="0"/>
          <w:sz w:val="36"/>
          <w:szCs w:val="36"/>
        </w:rPr>
        <w:t>表</w:t>
      </w:r>
      <w:r>
        <w:rPr>
          <w:rFonts w:ascii="黑体" w:hAnsi="宋体" w:eastAsia="黑体" w:cs="宋体"/>
          <w:color w:val="000000"/>
          <w:kern w:val="0"/>
          <w:sz w:val="36"/>
          <w:szCs w:val="36"/>
        </w:rPr>
        <w:t xml:space="preserve"> </w:t>
      </w:r>
      <w:r>
        <w:rPr>
          <w:rFonts w:hint="eastAsia" w:ascii="黑体" w:hAnsi="宋体" w:eastAsia="黑体" w:cs="宋体"/>
          <w:color w:val="000000"/>
          <w:kern w:val="0"/>
          <w:sz w:val="36"/>
          <w:szCs w:val="36"/>
        </w:rPr>
        <w:t>说</w:t>
      </w:r>
      <w:r>
        <w:rPr>
          <w:rFonts w:ascii="黑体" w:hAnsi="宋体" w:eastAsia="黑体" w:cs="宋体"/>
          <w:color w:val="000000"/>
          <w:kern w:val="0"/>
          <w:sz w:val="36"/>
          <w:szCs w:val="36"/>
        </w:rPr>
        <w:t xml:space="preserve"> </w:t>
      </w:r>
      <w:r>
        <w:rPr>
          <w:rFonts w:hint="eastAsia" w:ascii="黑体" w:hAnsi="宋体" w:eastAsia="黑体" w:cs="宋体"/>
          <w:color w:val="000000"/>
          <w:kern w:val="0"/>
          <w:sz w:val="36"/>
          <w:szCs w:val="36"/>
        </w:rPr>
        <w:t>明</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本申报书为企业申报中国工业大奖的主要文字依据，各项内容务必认真填写。文字叙述应完整、清晰、简洁，数据真实、准确、可靠，外来语要用原文和中文表达。填写时各栏目不得空缺，无此内容时填“无”。</w:t>
      </w:r>
    </w:p>
    <w:p>
      <w:pPr>
        <w:widowControl/>
        <w:snapToGrid w:val="0"/>
        <w:spacing w:line="360" w:lineRule="auto"/>
        <w:ind w:firstLine="629"/>
        <w:rPr>
          <w:rFonts w:ascii="宋体" w:cs="宋体"/>
          <w:kern w:val="0"/>
          <w:sz w:val="24"/>
          <w:szCs w:val="24"/>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由申报企业填写，除特别要求外，在情况说明栏分别填入</w:t>
      </w:r>
      <w:r>
        <w:rPr>
          <w:rFonts w:ascii="仿宋_GB2312" w:hAnsi="宋体" w:eastAsia="仿宋_GB2312" w:cs="宋体"/>
          <w:color w:val="000000"/>
          <w:kern w:val="0"/>
          <w:sz w:val="28"/>
          <w:szCs w:val="28"/>
        </w:rPr>
        <w:t>201</w:t>
      </w:r>
      <w:r>
        <w:rPr>
          <w:rFonts w:hint="eastAsia" w:ascii="仿宋_GB2312" w:hAnsi="宋体" w:eastAsia="仿宋_GB2312" w:cs="宋体"/>
          <w:color w:val="000000"/>
          <w:kern w:val="0"/>
          <w:sz w:val="28"/>
          <w:szCs w:val="28"/>
        </w:rPr>
        <w:t>9</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kern w:val="0"/>
          <w:sz w:val="28"/>
          <w:szCs w:val="28"/>
        </w:rPr>
        <w:t>度、</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20年度信息，建议</w:t>
      </w:r>
      <w:r>
        <w:rPr>
          <w:rFonts w:ascii="仿宋_GB2312" w:hAnsi="宋体" w:eastAsia="仿宋_GB2312" w:cs="宋体"/>
          <w:color w:val="000000"/>
          <w:kern w:val="0"/>
          <w:sz w:val="28"/>
          <w:szCs w:val="28"/>
        </w:rPr>
        <w:t>300</w:t>
      </w:r>
      <w:r>
        <w:rPr>
          <w:rFonts w:hint="eastAsia" w:ascii="仿宋_GB2312" w:hAnsi="宋体" w:eastAsia="仿宋_GB2312" w:cs="宋体"/>
          <w:color w:val="000000"/>
          <w:kern w:val="0"/>
          <w:sz w:val="28"/>
          <w:szCs w:val="28"/>
        </w:rPr>
        <w:t>字以内，必要时可延展表格或附补充资料。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由省（区、市）工业经济联合会（协会）和相关全国性工业行业联合会（协会）填写。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由行业评审专家委员会填写。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由综合评审专家委员会填写。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由中国工业大奖工作委员会填写。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7</w:t>
      </w:r>
      <w:r>
        <w:rPr>
          <w:rFonts w:hint="eastAsia" w:ascii="仿宋_GB2312" w:hAnsi="宋体" w:eastAsia="仿宋_GB2312" w:cs="宋体"/>
          <w:color w:val="000000"/>
          <w:kern w:val="0"/>
          <w:sz w:val="28"/>
          <w:szCs w:val="28"/>
        </w:rPr>
        <w:t>、表</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由中国工业大奖审定委员会填写。</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、申报企业须提供企业法人营业执照、统一社会信用代码、税务登记证、注册商标证明、财务报表以及反映企业生产发展过程中所取得的其它证明性材料、荣誉证书等复印件。</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、申报材料须同时提供纸质版本</w:t>
      </w:r>
      <w:r>
        <w:rPr>
          <w:rFonts w:hint="eastAsia" w:ascii="仿宋_GB2312" w:hAnsi="宋体" w:eastAsia="仿宋_GB2312" w:cs="宋体"/>
          <w:kern w:val="0"/>
          <w:sz w:val="28"/>
          <w:szCs w:val="28"/>
        </w:rPr>
        <w:t>（一式两份，加盖公章）</w:t>
      </w:r>
      <w:r>
        <w:rPr>
          <w:rFonts w:hint="eastAsia" w:ascii="仿宋_GB2312" w:hAnsi="宋体" w:eastAsia="仿宋_GB2312" w:cs="宋体"/>
          <w:color w:val="000000"/>
          <w:kern w:val="0"/>
          <w:sz w:val="28"/>
          <w:szCs w:val="28"/>
        </w:rPr>
        <w:t>和电子版本（光盘或U盘），其中纸质材料一份由申报受理单位存档，一份由中国工业大奖办公室存档。</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、申报材料采用</w:t>
      </w:r>
      <w:r>
        <w:rPr>
          <w:rFonts w:ascii="仿宋_GB2312" w:hAnsi="宋体" w:eastAsia="仿宋_GB2312" w:cs="宋体"/>
          <w:color w:val="000000"/>
          <w:kern w:val="0"/>
          <w:sz w:val="28"/>
          <w:szCs w:val="28"/>
        </w:rPr>
        <w:t>A4</w:t>
      </w:r>
      <w:r>
        <w:rPr>
          <w:rFonts w:hint="eastAsia" w:ascii="仿宋_GB2312" w:hAnsi="宋体" w:eastAsia="仿宋_GB2312" w:cs="宋体"/>
          <w:color w:val="000000"/>
          <w:kern w:val="0"/>
          <w:sz w:val="28"/>
          <w:szCs w:val="28"/>
        </w:rPr>
        <w:t>纸打印，左侧装订，平装。</w:t>
      </w:r>
    </w:p>
    <w:p>
      <w:pPr>
        <w:widowControl/>
        <w:snapToGrid w:val="0"/>
        <w:spacing w:line="360" w:lineRule="auto"/>
        <w:ind w:firstLine="629"/>
        <w:rPr>
          <w:rFonts w:ascii="宋体" w:cs="宋体"/>
          <w:kern w:val="0"/>
          <w:sz w:val="24"/>
          <w:szCs w:val="24"/>
        </w:rPr>
      </w:pP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、申报材料不予更换和退回。</w:t>
      </w:r>
    </w:p>
    <w:p>
      <w:pPr>
        <w:widowControl/>
        <w:spacing w:before="100" w:beforeAutospacing="1" w:after="100" w:afterAutospacing="1" w:line="420" w:lineRule="auto"/>
        <w:jc w:val="left"/>
        <w:rPr>
          <w:rFonts w:ascii="Times New Roman" w:hAnsi="Times New Roman" w:eastAsia="楷体_GB2312"/>
          <w:b/>
          <w:bCs/>
          <w:smallCaps/>
          <w:color w:val="000000"/>
          <w:sz w:val="32"/>
          <w:szCs w:val="20"/>
        </w:rPr>
        <w:sectPr>
          <w:footerReference r:id="rId5" w:type="default"/>
          <w:pgSz w:w="12240" w:h="15840"/>
          <w:pgMar w:top="1440" w:right="1800" w:bottom="1440" w:left="1800" w:header="720" w:footer="720" w:gutter="0"/>
          <w:cols w:space="720" w:num="1"/>
        </w:sectPr>
      </w:pPr>
    </w:p>
    <w:p>
      <w:pPr>
        <w:widowControl/>
        <w:snapToGrid w:val="0"/>
        <w:ind w:left="210"/>
        <w:jc w:val="left"/>
        <w:rPr>
          <w:rFonts w:ascii="Arial" w:hAnsi="Arial" w:cs="Arial"/>
          <w:color w:val="000000" w:themeColor="text1"/>
          <w:kern w:val="0"/>
          <w:sz w:val="18"/>
          <w:szCs w:val="18"/>
          <w14:textFill>
            <w14:solidFill>
              <w14:schemeClr w14:val="tx1"/>
            </w14:solidFill>
          </w14:textFill>
        </w:rPr>
      </w:pPr>
      <w:r>
        <w:rPr>
          <w:rFonts w:hint="eastAsia" w:ascii="Times New Roman" w:hAnsi="Arial" w:eastAsia="楷体_GB2312" w:cs="Arial"/>
          <w:b/>
          <w:color w:val="000000" w:themeColor="text1"/>
          <w:kern w:val="0"/>
          <w:sz w:val="36"/>
          <w14:textFill>
            <w14:solidFill>
              <w14:schemeClr w14:val="tx1"/>
            </w14:solidFill>
          </w14:textFill>
        </w:rPr>
        <w:t>表</w:t>
      </w:r>
      <w:r>
        <w:rPr>
          <w:rFonts w:ascii="Times New Roman" w:hAnsi="Times New Roman"/>
          <w:b/>
          <w:color w:val="000000" w:themeColor="text1"/>
          <w:kern w:val="0"/>
          <w:sz w:val="36"/>
          <w14:textFill>
            <w14:solidFill>
              <w14:schemeClr w14:val="tx1"/>
            </w14:solidFill>
          </w14:textFill>
        </w:rPr>
        <w:t xml:space="preserve">1  </w:t>
      </w:r>
      <w:r>
        <w:rPr>
          <w:rFonts w:hint="eastAsia" w:ascii="Times New Roman" w:hAnsi="Arial" w:eastAsia="楷体_GB2312" w:cs="Arial"/>
          <w:b/>
          <w:bCs/>
          <w:color w:val="000000" w:themeColor="text1"/>
          <w:kern w:val="0"/>
          <w:sz w:val="36"/>
          <w14:textFill>
            <w14:solidFill>
              <w14:schemeClr w14:val="tx1"/>
            </w14:solidFill>
          </w14:textFill>
        </w:rPr>
        <w:t>基本</w:t>
      </w:r>
      <w:r>
        <w:rPr>
          <w:rFonts w:hint="eastAsia" w:ascii="Times New Roman" w:hAnsi="Arial" w:eastAsia="楷体_GB2312" w:cs="Arial"/>
          <w:b/>
          <w:color w:val="000000" w:themeColor="text1"/>
          <w:kern w:val="0"/>
          <w:sz w:val="36"/>
          <w14:textFill>
            <w14:solidFill>
              <w14:schemeClr w14:val="tx1"/>
            </w14:solidFill>
          </w14:textFill>
        </w:rPr>
        <w:t>情况</w:t>
      </w:r>
    </w:p>
    <w:tbl>
      <w:tblPr>
        <w:tblStyle w:val="15"/>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309"/>
        <w:gridCol w:w="1801"/>
        <w:gridCol w:w="1655"/>
        <w:gridCol w:w="149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53" w:type="pct"/>
          </w:tcPr>
          <w:p>
            <w:pPr>
              <w:widowControl/>
              <w:spacing w:before="156" w:after="156" w:line="36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企业名称</w:t>
            </w:r>
          </w:p>
        </w:tc>
        <w:tc>
          <w:tcPr>
            <w:tcW w:w="4147" w:type="pct"/>
            <w:gridSpan w:val="5"/>
          </w:tcPr>
          <w:p>
            <w:pPr>
              <w:widowControl/>
              <w:spacing w:before="156" w:after="156" w:line="36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3"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成立时间</w:t>
            </w:r>
          </w:p>
        </w:tc>
        <w:tc>
          <w:tcPr>
            <w:tcW w:w="72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92" w:type="pct"/>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总经理</w:t>
            </w:r>
            <w:r>
              <w:rPr>
                <w:rFonts w:ascii="Times New Roman" w:hAnsi="Times New Roman" w:eastAsia="仿宋_GB2312"/>
                <w:color w:val="000000" w:themeColor="text1"/>
                <w:kern w:val="0"/>
                <w:sz w:val="30"/>
                <w:szCs w:val="30"/>
                <w14:textFill>
                  <w14:solidFill>
                    <w14:schemeClr w14:val="tx1"/>
                  </w14:solidFill>
                </w14:textFill>
              </w:rPr>
              <w:t>/</w:t>
            </w:r>
            <w:r>
              <w:rPr>
                <w:rFonts w:hint="eastAsia" w:ascii="Times New Roman" w:hAnsi="宋体" w:eastAsia="仿宋_GB2312" w:cs="宋体"/>
                <w:color w:val="000000" w:themeColor="text1"/>
                <w:kern w:val="0"/>
                <w:sz w:val="30"/>
                <w:szCs w:val="30"/>
                <w14:textFill>
                  <w14:solidFill>
                    <w14:schemeClr w14:val="tx1"/>
                  </w14:solidFill>
                </w14:textFill>
              </w:rPr>
              <w:t>总裁</w:t>
            </w:r>
          </w:p>
        </w:tc>
        <w:tc>
          <w:tcPr>
            <w:tcW w:w="912"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82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法人代表</w:t>
            </w:r>
          </w:p>
        </w:tc>
        <w:tc>
          <w:tcPr>
            <w:tcW w:w="70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3"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职工人数</w:t>
            </w:r>
          </w:p>
        </w:tc>
        <w:tc>
          <w:tcPr>
            <w:tcW w:w="72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92" w:type="pct"/>
            <w:vAlign w:val="center"/>
          </w:tcPr>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所属行业</w:t>
            </w:r>
          </w:p>
        </w:tc>
        <w:tc>
          <w:tcPr>
            <w:tcW w:w="912"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821" w:type="pct"/>
            <w:vAlign w:val="center"/>
          </w:tcPr>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注册资本</w:t>
            </w:r>
          </w:p>
        </w:tc>
        <w:tc>
          <w:tcPr>
            <w:tcW w:w="70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3" w:type="pct"/>
            <w:vAlign w:val="center"/>
          </w:tcPr>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固定资产</w:t>
            </w:r>
          </w:p>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（净值）</w:t>
            </w:r>
          </w:p>
        </w:tc>
        <w:tc>
          <w:tcPr>
            <w:tcW w:w="72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92" w:type="pct"/>
            <w:vAlign w:val="center"/>
          </w:tcPr>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上市股</w:t>
            </w:r>
          </w:p>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种类</w:t>
            </w:r>
          </w:p>
        </w:tc>
        <w:tc>
          <w:tcPr>
            <w:tcW w:w="912"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821" w:type="pct"/>
            <w:vAlign w:val="center"/>
          </w:tcPr>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中资控股比例</w:t>
            </w:r>
          </w:p>
        </w:tc>
        <w:tc>
          <w:tcPr>
            <w:tcW w:w="701" w:type="pct"/>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3" w:type="pct"/>
            <w:vAlign w:val="center"/>
          </w:tcPr>
          <w:p>
            <w:pPr>
              <w:widowControl/>
              <w:spacing w:line="400" w:lineRule="exact"/>
              <w:jc w:val="center"/>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企业性质</w:t>
            </w:r>
          </w:p>
        </w:tc>
        <w:tc>
          <w:tcPr>
            <w:tcW w:w="4147" w:type="pct"/>
            <w:gridSpan w:val="5"/>
            <w:vAlign w:val="center"/>
          </w:tcPr>
          <w:p>
            <w:pPr>
              <w:widowControl/>
              <w:spacing w:before="156" w:after="156" w:line="400" w:lineRule="exact"/>
              <w:ind w:left="210" w:hanging="210" w:hangingChars="100"/>
              <w:jc w:val="left"/>
              <w:rPr>
                <w:rFonts w:ascii="宋体" w:hAnsi="宋体"/>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国有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集体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私营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股份制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有限合伙</w:t>
            </w:r>
          </w:p>
          <w:p>
            <w:pPr>
              <w:widowControl/>
              <w:spacing w:before="156" w:after="156" w:line="400" w:lineRule="exact"/>
              <w:jc w:val="left"/>
              <w:rPr>
                <w:rFonts w:ascii="Times New Roman" w:hAnsi="Times New Roman" w:eastAsia="仿宋_GB2312"/>
                <w:color w:val="000000" w:themeColor="text1"/>
                <w:kern w:val="0"/>
                <w:sz w:val="30"/>
                <w:szCs w:val="30"/>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联营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外商投资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个人独资   </w:t>
            </w:r>
            <w:r>
              <w:rPr>
                <w:rFonts w:hint="eastAsia" w:ascii="楷体_GB2312" w:hAnsi="楷体_GB2312" w:eastAsia="楷体_GB2312" w:cs="楷体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574" w:type="pct"/>
            <w:gridSpan w:val="2"/>
            <w:vAlign w:val="center"/>
          </w:tcPr>
          <w:p>
            <w:pPr>
              <w:widowControl/>
              <w:spacing w:before="156" w:after="156" w:line="40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股东名称及持股</w:t>
            </w:r>
          </w:p>
          <w:p>
            <w:pPr>
              <w:widowControl/>
              <w:spacing w:before="156" w:after="156" w:line="400" w:lineRule="exact"/>
              <w:jc w:val="left"/>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比例（前三名）</w:t>
            </w:r>
          </w:p>
        </w:tc>
        <w:tc>
          <w:tcPr>
            <w:tcW w:w="3426" w:type="pct"/>
            <w:gridSpan w:val="4"/>
            <w:vAlign w:val="center"/>
          </w:tcPr>
          <w:p>
            <w:pPr>
              <w:widowControl/>
              <w:spacing w:before="156" w:after="156" w:line="400" w:lineRule="exact"/>
              <w:jc w:val="left"/>
              <w:rPr>
                <w:rFonts w:ascii="Times New Roman" w:hAnsi="Times New Roman" w:eastAsia="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53" w:type="pct"/>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联</w:t>
            </w:r>
            <w:r>
              <w:rPr>
                <w:rFonts w:ascii="Times New Roman" w:hAnsi="Times New Roman" w:eastAsia="仿宋_GB2312"/>
                <w:color w:val="000000" w:themeColor="text1"/>
                <w:kern w:val="0"/>
                <w:sz w:val="30"/>
                <w:szCs w:val="30"/>
                <w14:textFill>
                  <w14:solidFill>
                    <w14:schemeClr w14:val="tx1"/>
                  </w14:solidFill>
                </w14:textFill>
              </w:rPr>
              <w:t xml:space="preserve"> </w:t>
            </w:r>
            <w:r>
              <w:rPr>
                <w:rFonts w:hint="eastAsia" w:ascii="Times New Roman" w:hAnsi="宋体" w:eastAsia="仿宋_GB2312" w:cs="宋体"/>
                <w:color w:val="000000" w:themeColor="text1"/>
                <w:kern w:val="0"/>
                <w:sz w:val="30"/>
                <w:szCs w:val="30"/>
                <w14:textFill>
                  <w14:solidFill>
                    <w14:schemeClr w14:val="tx1"/>
                  </w14:solidFill>
                </w14:textFill>
              </w:rPr>
              <w:t>系</w:t>
            </w:r>
            <w:r>
              <w:rPr>
                <w:rFonts w:ascii="Times New Roman" w:hAnsi="Times New Roman" w:eastAsia="仿宋_GB2312"/>
                <w:color w:val="000000" w:themeColor="text1"/>
                <w:kern w:val="0"/>
                <w:sz w:val="30"/>
                <w:szCs w:val="30"/>
                <w14:textFill>
                  <w14:solidFill>
                    <w14:schemeClr w14:val="tx1"/>
                  </w14:solidFill>
                </w14:textFill>
              </w:rPr>
              <w:t xml:space="preserve"> </w:t>
            </w:r>
            <w:r>
              <w:rPr>
                <w:rFonts w:hint="eastAsia" w:ascii="Times New Roman" w:hAnsi="宋体" w:eastAsia="仿宋_GB2312" w:cs="宋体"/>
                <w:color w:val="000000" w:themeColor="text1"/>
                <w:kern w:val="0"/>
                <w:sz w:val="30"/>
                <w:szCs w:val="30"/>
                <w14:textFill>
                  <w14:solidFill>
                    <w14:schemeClr w14:val="tx1"/>
                  </w14:solidFill>
                </w14:textFill>
              </w:rPr>
              <w:t>人</w:t>
            </w:r>
          </w:p>
        </w:tc>
        <w:tc>
          <w:tcPr>
            <w:tcW w:w="1713" w:type="pct"/>
            <w:gridSpan w:val="2"/>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12" w:type="pct"/>
            <w:vAlign w:val="center"/>
          </w:tcPr>
          <w:p>
            <w:pPr>
              <w:widowControl/>
              <w:spacing w:before="156" w:after="156" w:line="400" w:lineRule="exact"/>
              <w:ind w:left="-601" w:leftChars="-286" w:firstLine="564" w:firstLineChars="188"/>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职</w:t>
            </w:r>
            <w:r>
              <w:rPr>
                <w:rFonts w:ascii="Times New Roman" w:hAnsi="Times New Roman" w:eastAsia="仿宋_GB2312"/>
                <w:color w:val="000000" w:themeColor="text1"/>
                <w:kern w:val="0"/>
                <w:sz w:val="30"/>
                <w:szCs w:val="30"/>
                <w14:textFill>
                  <w14:solidFill>
                    <w14:schemeClr w14:val="tx1"/>
                  </w14:solidFill>
                </w14:textFill>
              </w:rPr>
              <w:t xml:space="preserve">    </w:t>
            </w:r>
            <w:r>
              <w:rPr>
                <w:rFonts w:hint="eastAsia" w:ascii="Times New Roman" w:hAnsi="宋体" w:eastAsia="仿宋_GB2312" w:cs="宋体"/>
                <w:color w:val="000000" w:themeColor="text1"/>
                <w:kern w:val="0"/>
                <w:sz w:val="30"/>
                <w:szCs w:val="30"/>
                <w14:textFill>
                  <w14:solidFill>
                    <w14:schemeClr w14:val="tx1"/>
                  </w14:solidFill>
                </w14:textFill>
              </w:rPr>
              <w:t>务</w:t>
            </w:r>
          </w:p>
        </w:tc>
        <w:tc>
          <w:tcPr>
            <w:tcW w:w="1522" w:type="pct"/>
            <w:gridSpan w:val="2"/>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53" w:type="pct"/>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电话</w:t>
            </w:r>
            <w:r>
              <w:rPr>
                <w:rFonts w:ascii="宋体" w:cs="宋体"/>
                <w:color w:val="000000" w:themeColor="text1"/>
                <w:kern w:val="0"/>
                <w:sz w:val="24"/>
                <w:szCs w:val="24"/>
                <w14:textFill>
                  <w14:solidFill>
                    <w14:schemeClr w14:val="tx1"/>
                  </w14:solidFill>
                </w14:textFill>
              </w:rPr>
              <w:t xml:space="preserve"> </w:t>
            </w:r>
          </w:p>
        </w:tc>
        <w:tc>
          <w:tcPr>
            <w:tcW w:w="1713" w:type="pct"/>
            <w:gridSpan w:val="2"/>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12" w:type="pct"/>
            <w:vAlign w:val="center"/>
          </w:tcPr>
          <w:p>
            <w:pPr>
              <w:widowControl/>
              <w:spacing w:before="156" w:after="156" w:line="400" w:lineRule="exact"/>
              <w:ind w:left="-601" w:leftChars="-286" w:firstLine="564" w:firstLineChars="188"/>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传真</w:t>
            </w:r>
          </w:p>
        </w:tc>
        <w:tc>
          <w:tcPr>
            <w:tcW w:w="1522" w:type="pct"/>
            <w:gridSpan w:val="2"/>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53" w:type="pct"/>
            <w:vAlign w:val="center"/>
          </w:tcPr>
          <w:p>
            <w:pPr>
              <w:widowControl/>
              <w:spacing w:before="156" w:after="156" w:line="400" w:lineRule="exact"/>
              <w:jc w:val="center"/>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手机</w:t>
            </w:r>
          </w:p>
        </w:tc>
        <w:tc>
          <w:tcPr>
            <w:tcW w:w="1713" w:type="pct"/>
            <w:gridSpan w:val="2"/>
            <w:vAlign w:val="center"/>
          </w:tcPr>
          <w:p>
            <w:pPr>
              <w:widowControl/>
              <w:spacing w:before="156" w:after="156" w:line="400" w:lineRule="exact"/>
              <w:jc w:val="center"/>
              <w:rPr>
                <w:rFonts w:ascii="Times New Roman" w:hAnsi="Times New Roman" w:eastAsia="仿宋_GB2312"/>
                <w:color w:val="000000" w:themeColor="text1"/>
                <w:kern w:val="0"/>
                <w:sz w:val="30"/>
                <w:szCs w:val="30"/>
                <w14:textFill>
                  <w14:solidFill>
                    <w14:schemeClr w14:val="tx1"/>
                  </w14:solidFill>
                </w14:textFill>
              </w:rPr>
            </w:pPr>
          </w:p>
        </w:tc>
        <w:tc>
          <w:tcPr>
            <w:tcW w:w="912" w:type="pct"/>
            <w:vAlign w:val="center"/>
          </w:tcPr>
          <w:p>
            <w:pPr>
              <w:widowControl/>
              <w:spacing w:before="156" w:after="156" w:line="400" w:lineRule="exact"/>
              <w:ind w:left="-601" w:leftChars="-286" w:firstLine="564" w:firstLineChars="188"/>
              <w:jc w:val="center"/>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微信号</w:t>
            </w:r>
          </w:p>
        </w:tc>
        <w:tc>
          <w:tcPr>
            <w:tcW w:w="1522" w:type="pct"/>
            <w:gridSpan w:val="2"/>
            <w:vAlign w:val="center"/>
          </w:tcPr>
          <w:p>
            <w:pPr>
              <w:widowControl/>
              <w:spacing w:before="156" w:after="156" w:line="400" w:lineRule="exact"/>
              <w:jc w:val="left"/>
              <w:rPr>
                <w:rFonts w:ascii="Times New Roman" w:hAnsi="Times New Roman" w:eastAsia="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53" w:type="pct"/>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网</w:t>
            </w:r>
            <w:r>
              <w:rPr>
                <w:rFonts w:ascii="Times New Roman" w:hAnsi="Times New Roman" w:eastAsia="仿宋_GB2312"/>
                <w:color w:val="000000" w:themeColor="text1"/>
                <w:kern w:val="0"/>
                <w:sz w:val="30"/>
                <w:szCs w:val="30"/>
                <w14:textFill>
                  <w14:solidFill>
                    <w14:schemeClr w14:val="tx1"/>
                  </w14:solidFill>
                </w14:textFill>
              </w:rPr>
              <w:t xml:space="preserve">    </w:t>
            </w:r>
            <w:r>
              <w:rPr>
                <w:rFonts w:hint="eastAsia" w:ascii="Times New Roman" w:hAnsi="宋体" w:eastAsia="仿宋_GB2312" w:cs="宋体"/>
                <w:color w:val="000000" w:themeColor="text1"/>
                <w:kern w:val="0"/>
                <w:sz w:val="30"/>
                <w:szCs w:val="30"/>
                <w14:textFill>
                  <w14:solidFill>
                    <w14:schemeClr w14:val="tx1"/>
                  </w14:solidFill>
                </w14:textFill>
              </w:rPr>
              <w:t>站</w:t>
            </w:r>
          </w:p>
        </w:tc>
        <w:tc>
          <w:tcPr>
            <w:tcW w:w="1713" w:type="pct"/>
            <w:gridSpan w:val="2"/>
            <w:vAlign w:val="center"/>
          </w:tcPr>
          <w:p>
            <w:pPr>
              <w:widowControl/>
              <w:spacing w:before="156" w:after="156" w:line="400" w:lineRule="exact"/>
              <w:jc w:val="center"/>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912" w:type="pct"/>
            <w:vAlign w:val="center"/>
          </w:tcPr>
          <w:p>
            <w:pPr>
              <w:widowControl/>
              <w:spacing w:before="156" w:after="156" w:line="400" w:lineRule="exact"/>
              <w:ind w:left="-601" w:leftChars="-286" w:firstLine="564" w:firstLineChars="188"/>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电子信箱</w:t>
            </w:r>
          </w:p>
        </w:tc>
        <w:tc>
          <w:tcPr>
            <w:tcW w:w="1522" w:type="pct"/>
            <w:gridSpan w:val="2"/>
            <w:vAlign w:val="center"/>
          </w:tcPr>
          <w:p>
            <w:pPr>
              <w:widowControl/>
              <w:spacing w:before="156" w:after="156" w:line="4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853" w:type="pct"/>
            <w:vAlign w:val="center"/>
          </w:tcPr>
          <w:p>
            <w:pPr>
              <w:widowControl/>
              <w:spacing w:before="156" w:after="156" w:line="212" w:lineRule="atLeast"/>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办公地址</w:t>
            </w:r>
          </w:p>
        </w:tc>
        <w:tc>
          <w:tcPr>
            <w:tcW w:w="2625" w:type="pct"/>
            <w:gridSpan w:val="3"/>
            <w:vAlign w:val="center"/>
          </w:tcPr>
          <w:p>
            <w:pPr>
              <w:widowControl/>
              <w:spacing w:before="156" w:after="156" w:line="212" w:lineRule="atLeast"/>
              <w:ind w:right="-288" w:rightChars="-137"/>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c>
          <w:tcPr>
            <w:tcW w:w="821" w:type="pct"/>
            <w:vAlign w:val="center"/>
          </w:tcPr>
          <w:p>
            <w:pPr>
              <w:widowControl/>
              <w:spacing w:before="156" w:after="156" w:line="212" w:lineRule="atLeast"/>
              <w:ind w:right="-48" w:rightChars="-23"/>
              <w:jc w:val="center"/>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邮政编码</w:t>
            </w:r>
          </w:p>
        </w:tc>
        <w:tc>
          <w:tcPr>
            <w:tcW w:w="701" w:type="pct"/>
            <w:vAlign w:val="center"/>
          </w:tcPr>
          <w:p>
            <w:pPr>
              <w:widowControl/>
              <w:spacing w:before="156" w:after="156" w:line="212" w:lineRule="atLeas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5000" w:type="pct"/>
            <w:gridSpan w:val="6"/>
          </w:tcPr>
          <w:p>
            <w:pPr>
              <w:widowControl/>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b/>
                <w:color w:val="000000" w:themeColor="text1"/>
                <w:kern w:val="0"/>
                <w:sz w:val="30"/>
                <w:szCs w:val="30"/>
                <w14:textFill>
                  <w14:solidFill>
                    <w14:schemeClr w14:val="tx1"/>
                  </w14:solidFill>
                </w14:textFill>
              </w:rPr>
              <w:t>主营产品生产能力及产销量：</w:t>
            </w:r>
          </w:p>
          <w:p>
            <w:pPr>
              <w:widowControl/>
              <w:spacing w:line="4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p>
            <w:pPr>
              <w:widowControl/>
              <w:spacing w:line="4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p>
            <w:pPr>
              <w:widowControl/>
              <w:spacing w:line="4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p>
            <w:pPr>
              <w:widowControl/>
              <w:spacing w:line="4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pacing w:before="100" w:beforeAutospacing="1" w:after="100" w:afterAutospacing="1" w:line="420" w:lineRule="auto"/>
        <w:jc w:val="left"/>
        <w:rPr>
          <w:rFonts w:ascii="Times New Roman" w:hAnsi="Times New Roman" w:eastAsia="楷体_GB2312"/>
          <w:b/>
          <w:bCs/>
          <w:smallCaps/>
          <w:color w:val="000000" w:themeColor="text1"/>
          <w:sz w:val="32"/>
          <w:szCs w:val="20"/>
          <w14:textFill>
            <w14:solidFill>
              <w14:schemeClr w14:val="tx1"/>
            </w14:solidFill>
          </w14:textFill>
        </w:rPr>
        <w:sectPr>
          <w:footerReference r:id="rId6" w:type="default"/>
          <w:pgSz w:w="12240" w:h="15840"/>
          <w:pgMar w:top="1440" w:right="1800" w:bottom="1440" w:left="1800" w:header="720" w:footer="720" w:gutter="0"/>
          <w:pgNumType w:start="1"/>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2-1 </w:t>
      </w:r>
      <w:r>
        <w:rPr>
          <w:rFonts w:ascii="Times New Roman" w:hAnsi="Times New Roman" w:eastAsia="仿宋_GB2312"/>
          <w:b/>
          <w:bCs/>
          <w:color w:val="000000" w:themeColor="text1"/>
          <w:kern w:val="0"/>
          <w:sz w:val="32"/>
          <w:szCs w:val="24"/>
          <w14:textFill>
            <w14:solidFill>
              <w14:schemeClr w14:val="tx1"/>
            </w14:solidFill>
          </w14:textFill>
        </w:rPr>
        <w:t xml:space="preserve"> </w:t>
      </w:r>
      <w:r>
        <w:rPr>
          <w:rFonts w:hint="eastAsia" w:ascii="Times New Roman" w:hAnsi="Times New Roman" w:cs="宋体"/>
          <w:b/>
          <w:bCs/>
          <w:color w:val="000000" w:themeColor="text1"/>
          <w:kern w:val="0"/>
          <w:sz w:val="32"/>
          <w:szCs w:val="24"/>
          <w14:textFill>
            <w14:solidFill>
              <w14:schemeClr w14:val="tx1"/>
            </w14:solidFill>
          </w14:textFill>
        </w:rPr>
        <w:t>考评项目：科技水平</w:t>
      </w:r>
    </w:p>
    <w:tbl>
      <w:tblPr>
        <w:tblStyle w:val="15"/>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511"/>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88" w:type="pct"/>
            <w:vMerge w:val="restart"/>
            <w:vAlign w:val="center"/>
          </w:tcPr>
          <w:p>
            <w:pPr>
              <w:widowControl/>
              <w:spacing w:before="100" w:beforeAutospacing="1" w:after="100" w:afterAutospacing="1" w:line="480" w:lineRule="exact"/>
              <w:jc w:val="center"/>
              <w:rPr>
                <w:rFonts w:asci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科</w:t>
            </w:r>
          </w:p>
          <w:p>
            <w:pPr>
              <w:widowControl/>
              <w:spacing w:before="100" w:beforeAutospacing="1" w:after="100" w:afterAutospacing="1" w:line="480" w:lineRule="exact"/>
              <w:jc w:val="center"/>
              <w:rPr>
                <w:rFonts w:asci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技</w:t>
            </w:r>
          </w:p>
          <w:p>
            <w:pPr>
              <w:widowControl/>
              <w:spacing w:before="100" w:beforeAutospacing="1" w:after="100" w:afterAutospacing="1" w:line="480" w:lineRule="exact"/>
              <w:jc w:val="center"/>
              <w:rPr>
                <w:rFonts w:asci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水</w:t>
            </w:r>
          </w:p>
          <w:p>
            <w:pPr>
              <w:widowControl/>
              <w:spacing w:before="100" w:beforeAutospacing="1" w:after="100" w:afterAutospacing="1" w:line="480" w:lineRule="exact"/>
              <w:jc w:val="center"/>
              <w:rPr>
                <w:rFonts w:asci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平</w:t>
            </w:r>
          </w:p>
        </w:tc>
        <w:tc>
          <w:tcPr>
            <w:tcW w:w="2556"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考评内容</w:t>
            </w:r>
          </w:p>
        </w:tc>
        <w:tc>
          <w:tcPr>
            <w:tcW w:w="2056"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拥有自主知识产权核心技术及主持或参与制定国家、国际标准</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取得重大突破及填补国内外同行业领域空白</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宋体" w:cs="宋体"/>
                <w:b/>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信息化、工业化融合及智能制造水平</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新产品产值率（%）</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年研发经费总额、投入强度</w:t>
            </w: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）研究与实验发展人员数量及占职工总人数比率（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推动转型升级提升行业整体水平程度</w:t>
            </w:r>
          </w:p>
        </w:tc>
        <w:tc>
          <w:tcPr>
            <w:tcW w:w="20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企业拥有研发机构等级</w:t>
            </w:r>
          </w:p>
        </w:tc>
        <w:tc>
          <w:tcPr>
            <w:tcW w:w="2056" w:type="pct"/>
            <w:vAlign w:val="center"/>
          </w:tcPr>
          <w:p>
            <w:pPr>
              <w:widowControl/>
              <w:spacing w:line="520" w:lineRule="exact"/>
              <w:jc w:val="left"/>
              <w:rPr>
                <w:rFonts w:ascii="宋体" w:cs="宋体"/>
                <w:dstrike/>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技术创新程度及国内</w:t>
            </w:r>
            <w:r>
              <w:rPr>
                <w:rFonts w:hint="eastAsia" w:ascii="Times New Roman" w:hAnsi="宋体" w:eastAsia="仿宋_GB2312" w:cs="宋体"/>
                <w:color w:val="000000" w:themeColor="text1"/>
                <w:kern w:val="0"/>
                <w:sz w:val="30"/>
                <w:szCs w:val="30"/>
                <w14:textFill>
                  <w14:solidFill>
                    <w14:schemeClr w14:val="tx1"/>
                  </w14:solidFill>
                </w14:textFill>
              </w:rPr>
              <w:t>外竞争实力</w:t>
            </w:r>
          </w:p>
        </w:tc>
        <w:tc>
          <w:tcPr>
            <w:tcW w:w="2056"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数字化转型及互联网、物联网、云计算、大数据应用情况</w:t>
            </w:r>
          </w:p>
        </w:tc>
        <w:tc>
          <w:tcPr>
            <w:tcW w:w="2056"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widowControl/>
              <w:spacing w:line="52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自主专利技术的种类、数量及年平均增长率</w:t>
            </w:r>
          </w:p>
        </w:tc>
        <w:tc>
          <w:tcPr>
            <w:tcW w:w="2056" w:type="pct"/>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56" w:type="pct"/>
            <w:vAlign w:val="center"/>
          </w:tcPr>
          <w:p>
            <w:pPr>
              <w:spacing w:line="52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已获国家级奖项</w:t>
            </w:r>
          </w:p>
        </w:tc>
        <w:tc>
          <w:tcPr>
            <w:tcW w:w="2056" w:type="pct"/>
          </w:tcPr>
          <w:p>
            <w:pPr>
              <w:spacing w:before="100" w:beforeAutospacing="1" w:after="100" w:afterAutospacing="1" w:line="520" w:lineRule="exact"/>
              <w:jc w:val="left"/>
              <w:rPr>
                <w:rFonts w:ascii="Times New Roman" w:hAnsi="Times New Roman"/>
                <w:color w:val="000000" w:themeColor="text1"/>
                <w:kern w:val="0"/>
                <w:sz w:val="30"/>
                <w:szCs w:val="30"/>
                <w14:textFill>
                  <w14:solidFill>
                    <w14:schemeClr w14:val="tx1"/>
                  </w14:solidFill>
                </w14:textFill>
              </w:rPr>
            </w:pPr>
          </w:p>
        </w:tc>
      </w:tr>
    </w:tbl>
    <w:p>
      <w:pPr>
        <w:widowControl/>
        <w:spacing w:before="100" w:beforeAutospacing="1" w:after="100" w:afterAutospacing="1"/>
        <w:jc w:val="left"/>
        <w:rPr>
          <w:rFonts w:ascii="Times New Roman" w:hAnsi="Times New Roman" w:eastAsia="仿宋_GB2312"/>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2-2  </w:t>
      </w:r>
      <w:r>
        <w:rPr>
          <w:rFonts w:hint="eastAsia" w:ascii="Times New Roman" w:hAnsi="宋体" w:cs="宋体"/>
          <w:b/>
          <w:bCs/>
          <w:color w:val="000000" w:themeColor="text1"/>
          <w:kern w:val="0"/>
          <w:sz w:val="32"/>
          <w:szCs w:val="24"/>
          <w14:textFill>
            <w14:solidFill>
              <w14:schemeClr w14:val="tx1"/>
            </w14:solidFill>
          </w14:textFill>
        </w:rPr>
        <w:t>考评项目：经济效益</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732"/>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00"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经</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济</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效</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益</w:t>
            </w:r>
          </w:p>
        </w:tc>
        <w:tc>
          <w:tcPr>
            <w:tcW w:w="2107"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考评内容</w:t>
            </w:r>
          </w:p>
        </w:tc>
        <w:tc>
          <w:tcPr>
            <w:tcW w:w="2493"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工业增加值率（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总资产贡献率（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资产负债率（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流动资产周转次数（次</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年）</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工业成本费用利润率（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销售利润率（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净资产收益率（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44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主营业务收入及增长率（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44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主营业务税金及附加</w:t>
            </w:r>
          </w:p>
        </w:tc>
        <w:tc>
          <w:tcPr>
            <w:tcW w:w="2493"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实现利润及人均利润率（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出口额及增长率（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07" w:type="pct"/>
            <w:vAlign w:val="center"/>
          </w:tcPr>
          <w:p>
            <w:pPr>
              <w:widowControl/>
              <w:spacing w:before="100" w:beforeAutospacing="1" w:after="100" w:afterAutospacing="1"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产品出口创汇率（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52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pacing w:before="100" w:beforeAutospacing="1" w:after="100" w:afterAutospacing="1"/>
        <w:jc w:val="left"/>
        <w:rPr>
          <w:rFonts w:ascii="Times New Roman" w:hAnsi="Times New Roman" w:eastAsia="仿宋_GB2312"/>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2-3  </w:t>
      </w:r>
      <w:r>
        <w:rPr>
          <w:rFonts w:hint="eastAsia" w:ascii="Times New Roman" w:hAnsi="宋体" w:cs="宋体"/>
          <w:b/>
          <w:bCs/>
          <w:color w:val="000000" w:themeColor="text1"/>
          <w:kern w:val="0"/>
          <w:sz w:val="32"/>
          <w:szCs w:val="24"/>
          <w14:textFill>
            <w14:solidFill>
              <w14:schemeClr w14:val="tx1"/>
            </w14:solidFill>
          </w14:textFill>
        </w:rPr>
        <w:t>考评项目：资源利用</w:t>
      </w:r>
    </w:p>
    <w:tbl>
      <w:tblPr>
        <w:tblStyle w:val="15"/>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794"/>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424"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资</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源</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利</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用</w:t>
            </w:r>
          </w:p>
        </w:tc>
        <w:tc>
          <w:tcPr>
            <w:tcW w:w="2121"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考评内容</w:t>
            </w:r>
          </w:p>
        </w:tc>
        <w:tc>
          <w:tcPr>
            <w:tcW w:w="2455" w:type="pct"/>
            <w:vAlign w:val="center"/>
          </w:tcPr>
          <w:p>
            <w:pPr>
              <w:widowControl/>
              <w:spacing w:before="100" w:beforeAutospacing="1" w:after="100" w:afterAutospacing="1" w:line="52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能源消费总量</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3"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原材料利用率（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9"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再生资源利用率（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10"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before="360" w:after="360" w:line="520" w:lineRule="exact"/>
              <w:rPr>
                <w:rFonts w:ascii="宋体" w:hAnsi="宋体" w:cs="宋体"/>
                <w:b/>
                <w:bCs/>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工业“三废”综合利用产品产值</w:t>
            </w:r>
            <w:r>
              <w:rPr>
                <w:rFonts w:hint="eastAsia" w:ascii="仿宋_GB2312" w:hAnsi="仿宋_GB2312" w:eastAsia="仿宋_GB2312" w:cs="仿宋_GB2312"/>
                <w:color w:val="000000" w:themeColor="text1"/>
                <w:kern w:val="0"/>
                <w:sz w:val="30"/>
                <w:szCs w:val="30"/>
                <w14:textFill>
                  <w14:solidFill>
                    <w14:schemeClr w14:val="tx1"/>
                  </w14:solidFill>
                </w14:textFill>
              </w:rPr>
              <w:t>（重点说明二氧化碳利用情况，例如：捕集、转化等）</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before="360" w:after="360" w:line="520" w:lineRule="exac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万元工业增加值能耗</w:t>
            </w:r>
          </w:p>
        </w:tc>
        <w:tc>
          <w:tcPr>
            <w:tcW w:w="2455" w:type="pct"/>
            <w:vAlign w:val="center"/>
          </w:tcPr>
          <w:p>
            <w:pPr>
              <w:widowControl/>
              <w:spacing w:before="100" w:beforeAutospacing="1" w:after="100" w:afterAutospacing="1" w:line="680" w:lineRule="exact"/>
              <w:jc w:val="left"/>
              <w:rPr>
                <w:rFonts w:ascii="Times New Roman" w:hAnsi="Times New Roman"/>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资源利用的资金投入及低碳清洁新能源投入占比</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5"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资源利用采用的先进技术及装备</w:t>
            </w:r>
          </w:p>
        </w:tc>
        <w:tc>
          <w:tcPr>
            <w:tcW w:w="2455" w:type="pct"/>
            <w:vAlign w:val="center"/>
          </w:tcPr>
          <w:p>
            <w:pPr>
              <w:widowControl/>
              <w:spacing w:before="100" w:beforeAutospacing="1" w:after="100" w:afterAutospacing="1" w:line="68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424"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121" w:type="pct"/>
            <w:vAlign w:val="center"/>
          </w:tcPr>
          <w:p>
            <w:pPr>
              <w:widowControl/>
              <w:spacing w:line="520" w:lineRule="exact"/>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能耗水平达国际先进或</w:t>
            </w:r>
          </w:p>
          <w:p>
            <w:pPr>
              <w:widowControl/>
              <w:spacing w:line="520" w:lineRule="exact"/>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国内领先水平</w:t>
            </w:r>
          </w:p>
        </w:tc>
        <w:tc>
          <w:tcPr>
            <w:tcW w:w="2455" w:type="pct"/>
            <w:vAlign w:val="center"/>
          </w:tcPr>
          <w:p>
            <w:pPr>
              <w:widowControl/>
              <w:spacing w:before="100" w:beforeAutospacing="1" w:after="100" w:afterAutospacing="1" w:line="680" w:lineRule="exact"/>
              <w:jc w:val="left"/>
              <w:rPr>
                <w:rFonts w:ascii="Times New Roman" w:hAnsi="Times New Roman"/>
                <w:color w:val="000000" w:themeColor="text1"/>
                <w:kern w:val="0"/>
                <w:sz w:val="30"/>
                <w:szCs w:val="30"/>
                <w14:textFill>
                  <w14:solidFill>
                    <w14:schemeClr w14:val="tx1"/>
                  </w14:solidFill>
                </w14:textFill>
              </w:rPr>
            </w:pPr>
          </w:p>
        </w:tc>
      </w:tr>
    </w:tbl>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2-4  </w:t>
      </w:r>
      <w:r>
        <w:rPr>
          <w:rFonts w:hint="eastAsia" w:ascii="Times New Roman" w:hAnsi="宋体" w:cs="宋体"/>
          <w:b/>
          <w:bCs/>
          <w:color w:val="000000" w:themeColor="text1"/>
          <w:kern w:val="0"/>
          <w:sz w:val="32"/>
          <w:szCs w:val="24"/>
          <w14:textFill>
            <w14:solidFill>
              <w14:schemeClr w14:val="tx1"/>
            </w14:solidFill>
          </w14:textFill>
        </w:rPr>
        <w:t>考评项目：环境保护</w:t>
      </w:r>
    </w:p>
    <w:tbl>
      <w:tblPr>
        <w:tblStyle w:val="15"/>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424"/>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417" w:type="pct"/>
            <w:vMerge w:val="restart"/>
            <w:vAlign w:val="center"/>
          </w:tcPr>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环</w:t>
            </w:r>
          </w:p>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境</w:t>
            </w:r>
          </w:p>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保</w:t>
            </w:r>
          </w:p>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护</w:t>
            </w:r>
          </w:p>
        </w:tc>
        <w:tc>
          <w:tcPr>
            <w:tcW w:w="2531" w:type="pct"/>
            <w:vAlign w:val="center"/>
          </w:tcPr>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考评内容</w:t>
            </w:r>
          </w:p>
        </w:tc>
        <w:tc>
          <w:tcPr>
            <w:tcW w:w="2052" w:type="pct"/>
            <w:vAlign w:val="center"/>
          </w:tcPr>
          <w:p>
            <w:pPr>
              <w:widowControl/>
              <w:spacing w:before="100" w:beforeAutospacing="1" w:after="100" w:afterAutospacing="1" w:line="440" w:lineRule="exact"/>
              <w:jc w:val="center"/>
              <w:rPr>
                <w:rFonts w:ascii="Times New Roman" w:hAnsi="宋体" w:cs="宋体"/>
                <w:b/>
                <w:bCs/>
                <w:color w:val="000000" w:themeColor="text1"/>
                <w:kern w:val="0"/>
                <w:sz w:val="30"/>
                <w:szCs w:val="30"/>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模范遵守环境保护法律法规</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建立完善环境管理体系</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各类污染物稳定达标排放且满足总量控制要求</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before="100" w:beforeAutospacing="1" w:after="100" w:afterAutospacing="1" w:line="440" w:lineRule="exact"/>
              <w:jc w:val="left"/>
              <w:rPr>
                <w:rFonts w:ascii="仿宋_GB2312" w:hAnsi="Times New Roman" w:eastAsia="仿宋_GB2312"/>
                <w:color w:val="000000" w:themeColor="text1"/>
                <w:kern w:val="0"/>
                <w:sz w:val="13"/>
                <w:szCs w:val="13"/>
                <w14:textFill>
                  <w14:solidFill>
                    <w14:schemeClr w14:val="tx1"/>
                  </w14:solidFill>
                </w14:textFill>
              </w:rPr>
            </w:pPr>
            <w:r>
              <w:rPr>
                <w:rFonts w:hint="eastAsia" w:ascii="仿宋_GB2312" w:hAnsi="宋体" w:eastAsia="仿宋_GB2312" w:cs="宋体"/>
                <w:bCs/>
                <w:color w:val="000000" w:themeColor="text1"/>
                <w:kern w:val="0"/>
                <w:sz w:val="30"/>
                <w:szCs w:val="30"/>
                <w14:textFill>
                  <w14:solidFill>
                    <w14:schemeClr w14:val="tx1"/>
                  </w14:solidFill>
                </w14:textFill>
              </w:rPr>
              <w:t>排污指标达到国内同行业领先、国际先进水平</w:t>
            </w:r>
          </w:p>
        </w:tc>
        <w:tc>
          <w:tcPr>
            <w:tcW w:w="2052" w:type="pct"/>
            <w:vAlign w:val="center"/>
          </w:tcPr>
          <w:p>
            <w:pP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44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是否荣获环保部门环境保护友好企业称号</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440" w:lineRule="exact"/>
              <w:jc w:val="left"/>
              <w:rPr>
                <w:rFonts w:ascii="宋体"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环保投资比率（</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）及环保投资增长水平</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440" w:lineRule="exact"/>
              <w:jc w:val="left"/>
              <w:rPr>
                <w:rFonts w:ascii="宋体" w:eastAsia="仿宋_GB2312"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污染物防治措施及技术（着重阐述企业在总体布局上是否突出了控制二氧化碳等温室气体排放，技术工艺的进步是否对节能降耗减碳减排起到了积极的成效，并说明企业在节能减排方面实施的具体方法，根据相关标准和规范估算上述措施的作用）</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已获国家级奖项</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531" w:type="pct"/>
            <w:vAlign w:val="center"/>
          </w:tcPr>
          <w:p>
            <w:pPr>
              <w:widowControl/>
              <w:spacing w:line="44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近两年内是否受到环保部门行政处罚</w:t>
            </w:r>
          </w:p>
        </w:tc>
        <w:tc>
          <w:tcPr>
            <w:tcW w:w="2052" w:type="pct"/>
            <w:vAlign w:val="center"/>
          </w:tcPr>
          <w:p>
            <w:pPr>
              <w:widowControl/>
              <w:spacing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rPr>
          <w:rFonts w:ascii="宋体" w:hAnsi="宋体" w:cs="宋体"/>
          <w:b/>
          <w:bCs/>
          <w:color w:val="000000" w:themeColor="text1"/>
          <w:sz w:val="28"/>
          <w:szCs w:val="28"/>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2-5  </w:t>
      </w:r>
      <w:r>
        <w:rPr>
          <w:rFonts w:hint="eastAsia" w:ascii="Times New Roman" w:hAnsi="宋体" w:cs="宋体"/>
          <w:b/>
          <w:bCs/>
          <w:color w:val="000000" w:themeColor="text1"/>
          <w:kern w:val="0"/>
          <w:sz w:val="32"/>
          <w:szCs w:val="24"/>
          <w14:textFill>
            <w14:solidFill>
              <w14:schemeClr w14:val="tx1"/>
            </w14:solidFill>
          </w14:textFill>
        </w:rPr>
        <w:t>考评项目：品牌战略</w:t>
      </w:r>
    </w:p>
    <w:tbl>
      <w:tblPr>
        <w:tblStyle w:val="15"/>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664"/>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434" w:type="pct"/>
            <w:vMerge w:val="restart"/>
            <w:vAlign w:val="center"/>
          </w:tcPr>
          <w:p>
            <w:pPr>
              <w:widowControl/>
              <w:spacing w:before="100" w:beforeAutospacing="1" w:after="100" w:afterAutospacing="1" w:line="440" w:lineRule="exact"/>
              <w:ind w:firstLine="148" w:firstLineChars="49"/>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品</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牌</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战</w:t>
            </w:r>
          </w:p>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略</w:t>
            </w:r>
          </w:p>
        </w:tc>
        <w:tc>
          <w:tcPr>
            <w:tcW w:w="2073" w:type="pct"/>
            <w:vAlign w:val="center"/>
          </w:tcPr>
          <w:p>
            <w:pPr>
              <w:widowControl/>
              <w:spacing w:before="100" w:beforeAutospacing="1" w:after="100" w:afterAutospacing="1" w:line="6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493" w:type="pct"/>
            <w:vAlign w:val="center"/>
          </w:tcPr>
          <w:p>
            <w:pPr>
              <w:widowControl/>
              <w:spacing w:before="100" w:beforeAutospacing="1" w:after="100" w:afterAutospacing="1" w:line="6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before="100" w:beforeAutospacing="1" w:after="100" w:afterAutospacing="1" w:line="520" w:lineRule="exact"/>
              <w:jc w:val="left"/>
              <w:rPr>
                <w:rFonts w:ascii="宋体" w:cs="宋体"/>
                <w:color w:val="000000" w:themeColor="text1"/>
                <w:w w:val="90"/>
                <w:kern w:val="0"/>
                <w:sz w:val="24"/>
                <w:szCs w:val="24"/>
                <w14:textFill>
                  <w14:solidFill>
                    <w14:schemeClr w14:val="tx1"/>
                  </w14:solidFill>
                </w14:textFill>
              </w:rPr>
            </w:pPr>
            <w:r>
              <w:rPr>
                <w:rFonts w:hint="eastAsia" w:ascii="Times New Roman" w:hAnsi="宋体" w:eastAsia="仿宋_GB2312" w:cs="宋体"/>
                <w:color w:val="000000" w:themeColor="text1"/>
                <w:w w:val="90"/>
                <w:kern w:val="0"/>
                <w:sz w:val="30"/>
                <w:szCs w:val="30"/>
                <w14:textFill>
                  <w14:solidFill>
                    <w14:schemeClr w14:val="tx1"/>
                  </w14:solidFill>
                </w14:textFill>
              </w:rPr>
              <w:t>国（境）内、国外商标注册</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产品国内市场占有率（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已获国家级荣誉</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before="100" w:beforeAutospacing="1" w:after="100" w:afterAutospacing="1"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自主品牌影响力和竞争力</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line="270" w:lineRule="atLeas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自有品牌产品出口量、占出口总量比例及年增长率</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73"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产品销往国家和地区及售后服务网络建设</w:t>
            </w:r>
          </w:p>
        </w:tc>
        <w:tc>
          <w:tcPr>
            <w:tcW w:w="2493" w:type="pct"/>
            <w:vAlign w:val="center"/>
          </w:tcPr>
          <w:p>
            <w:pPr>
              <w:widowControl/>
              <w:spacing w:before="100" w:beforeAutospacing="1" w:after="100" w:afterAutospacing="1" w:line="6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bl>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2-6  </w:t>
      </w:r>
      <w:r>
        <w:rPr>
          <w:rFonts w:hint="eastAsia" w:ascii="Times New Roman" w:hAnsi="宋体" w:cs="宋体"/>
          <w:b/>
          <w:bCs/>
          <w:color w:val="000000" w:themeColor="text1"/>
          <w:kern w:val="0"/>
          <w:sz w:val="32"/>
          <w:szCs w:val="24"/>
          <w14:textFill>
            <w14:solidFill>
              <w14:schemeClr w14:val="tx1"/>
            </w14:solidFill>
          </w14:textFill>
        </w:rPr>
        <w:t>考评项目：产品质量</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659"/>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40"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产</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品</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质</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量</w:t>
            </w:r>
          </w:p>
        </w:tc>
        <w:tc>
          <w:tcPr>
            <w:tcW w:w="2067"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493"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w w:val="90"/>
                <w:kern w:val="0"/>
                <w:sz w:val="24"/>
                <w:szCs w:val="24"/>
                <w14:textFill>
                  <w14:solidFill>
                    <w14:schemeClr w14:val="tx1"/>
                  </w14:solidFill>
                </w14:textFill>
              </w:rPr>
            </w:pPr>
            <w:r>
              <w:rPr>
                <w:rFonts w:hint="eastAsia" w:ascii="仿宋_GB2312" w:hAnsi="宋体" w:eastAsia="仿宋_GB2312" w:cs="宋体"/>
                <w:color w:val="000000" w:themeColor="text1"/>
                <w:w w:val="90"/>
                <w:kern w:val="0"/>
                <w:sz w:val="30"/>
                <w:szCs w:val="30"/>
                <w14:textFill>
                  <w14:solidFill>
                    <w14:schemeClr w14:val="tx1"/>
                  </w14:solidFill>
                </w14:textFill>
              </w:rPr>
              <w:t>采用的质量管理和标准体系</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主持或参与行业重大技术标准的制定和修订</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省级（含）以上质检部门抽查产品合格率（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Times New Roman" w:hAnsi="宋体" w:eastAsia="仿宋_GB2312" w:cs="宋体"/>
                <w:color w:val="000000" w:themeColor="text1"/>
                <w:kern w:val="0"/>
                <w:sz w:val="32"/>
                <w:szCs w:val="28"/>
                <w:vertAlign w:val="superscript"/>
                <w14:textFill>
                  <w14:solidFill>
                    <w14:schemeClr w14:val="tx1"/>
                  </w14:solidFill>
                </w14:textFill>
              </w:rPr>
              <w:t>＊</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质量保证和服务体系</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已获质量认证</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已获省级以上荣誉及奖项</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宋体" w:cs="宋体"/>
                <w:color w:val="000000" w:themeColor="text1"/>
                <w:w w:val="90"/>
                <w:kern w:val="0"/>
                <w:sz w:val="24"/>
                <w:szCs w:val="24"/>
                <w14:textFill>
                  <w14:solidFill>
                    <w14:schemeClr w14:val="tx1"/>
                  </w14:solidFill>
                </w14:textFill>
              </w:rPr>
            </w:pPr>
            <w:r>
              <w:rPr>
                <w:rFonts w:hint="eastAsia" w:ascii="Times New Roman" w:hAnsi="宋体" w:eastAsia="仿宋_GB2312" w:cs="宋体"/>
                <w:color w:val="000000" w:themeColor="text1"/>
                <w:w w:val="90"/>
                <w:kern w:val="0"/>
                <w:sz w:val="30"/>
                <w:szCs w:val="30"/>
                <w14:textFill>
                  <w14:solidFill>
                    <w14:schemeClr w14:val="tx1"/>
                  </w14:solidFill>
                </w14:textFill>
              </w:rPr>
              <w:t>实施卓越绩效模式管理方法</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28"/>
          <w:szCs w:val="28"/>
          <w14:textFill>
            <w14:solidFill>
              <w14:schemeClr w14:val="tx1"/>
            </w14:solidFill>
          </w14:textFill>
        </w:rPr>
        <w:t>注：带有＊项需提供相应单位证明材料。</w:t>
      </w: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2-7  </w:t>
      </w:r>
      <w:r>
        <w:rPr>
          <w:rFonts w:hint="eastAsia" w:ascii="Times New Roman" w:hAnsi="宋体" w:cs="宋体"/>
          <w:b/>
          <w:bCs/>
          <w:color w:val="000000" w:themeColor="text1"/>
          <w:kern w:val="0"/>
          <w:sz w:val="32"/>
          <w:szCs w:val="24"/>
          <w14:textFill>
            <w14:solidFill>
              <w14:schemeClr w14:val="tx1"/>
            </w14:solidFill>
          </w14:textFill>
        </w:rPr>
        <w:t>考评项目：安全生产</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659"/>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40"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安</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全</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生</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产</w:t>
            </w:r>
          </w:p>
        </w:tc>
        <w:tc>
          <w:tcPr>
            <w:tcW w:w="2067"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493"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企业安全生产资金投入占产值比例（%）</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涉及安全的技术改造投入及占总资产的比率（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安全生产管理体系建设</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主要安全业绩指标水平</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应急管理体系建设</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5"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w w:val="90"/>
                <w:kern w:val="0"/>
                <w:sz w:val="24"/>
                <w:szCs w:val="24"/>
                <w14:textFill>
                  <w14:solidFill>
                    <w14:schemeClr w14:val="tx1"/>
                  </w14:solidFill>
                </w14:textFill>
              </w:rPr>
            </w:pPr>
            <w:r>
              <w:rPr>
                <w:rFonts w:hint="eastAsia" w:ascii="仿宋_GB2312" w:hAnsi="宋体" w:eastAsia="仿宋_GB2312" w:cs="宋体"/>
                <w:color w:val="000000" w:themeColor="text1"/>
                <w:w w:val="90"/>
                <w:kern w:val="0"/>
                <w:sz w:val="30"/>
                <w:szCs w:val="30"/>
                <w14:textFill>
                  <w14:solidFill>
                    <w14:schemeClr w14:val="tx1"/>
                  </w14:solidFill>
                </w14:textFill>
              </w:rPr>
              <w:t>职工健康安全管理体系建设</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通过认证及时间</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已获荣誉及奖项</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8" w:hRule="atLeast"/>
          <w:jc w:val="center"/>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067"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近两年是否发生较大及以上生产安全责任事故</w:t>
            </w:r>
          </w:p>
        </w:tc>
        <w:tc>
          <w:tcPr>
            <w:tcW w:w="2493"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pacing w:before="100" w:beforeAutospacing="1" w:after="100" w:afterAutospacing="1"/>
        <w:jc w:val="left"/>
        <w:rPr>
          <w:rFonts w:ascii="Times New Roman" w:hAnsi="Times New Roman" w:eastAsia="仿宋_GB2312"/>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2-8  </w:t>
      </w:r>
      <w:r>
        <w:rPr>
          <w:rFonts w:hint="eastAsia" w:ascii="Times New Roman" w:hAnsi="宋体" w:cs="宋体"/>
          <w:b/>
          <w:bCs/>
          <w:color w:val="000000" w:themeColor="text1"/>
          <w:kern w:val="0"/>
          <w:sz w:val="32"/>
          <w:szCs w:val="24"/>
          <w14:textFill>
            <w14:solidFill>
              <w14:schemeClr w14:val="tx1"/>
            </w14:solidFill>
          </w14:textFill>
        </w:rPr>
        <w:t>考评项目：社会责任</w:t>
      </w:r>
    </w:p>
    <w:tbl>
      <w:tblPr>
        <w:tblStyle w:val="15"/>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009"/>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440"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社</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会</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责</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任</w:t>
            </w:r>
          </w:p>
        </w:tc>
        <w:tc>
          <w:tcPr>
            <w:tcW w:w="2278"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282"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7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企业社会贡献率（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520" w:lineRule="exact"/>
              <w:jc w:val="left"/>
              <w:rPr>
                <w:rFonts w:ascii="仿宋_GB2312" w:eastAsia="仿宋_GB2312" w:cs="宋体"/>
                <w:color w:val="000000" w:themeColor="text1"/>
                <w:w w:val="90"/>
                <w:kern w:val="0"/>
                <w:sz w:val="24"/>
                <w:szCs w:val="24"/>
                <w14:textFill>
                  <w14:solidFill>
                    <w14:schemeClr w14:val="tx1"/>
                  </w14:solidFill>
                </w14:textFill>
              </w:rPr>
            </w:pPr>
            <w:r>
              <w:rPr>
                <w:rFonts w:hint="eastAsia" w:ascii="仿宋_GB2312" w:hAnsi="宋体" w:eastAsia="仿宋_GB2312" w:cs="宋体"/>
                <w:color w:val="000000" w:themeColor="text1"/>
                <w:w w:val="90"/>
                <w:kern w:val="0"/>
                <w:sz w:val="30"/>
                <w:szCs w:val="30"/>
                <w14:textFill>
                  <w14:solidFill>
                    <w14:schemeClr w14:val="tx1"/>
                  </w14:solidFill>
                </w14:textFill>
              </w:rPr>
              <w:t>创造就业净数量及年增长率（</w:t>
            </w:r>
            <w:r>
              <w:rPr>
                <w:rFonts w:hint="eastAsia" w:ascii="仿宋_GB2312" w:hAnsi="Times New Roman" w:eastAsia="仿宋_GB2312"/>
                <w:color w:val="000000" w:themeColor="text1"/>
                <w:w w:val="90"/>
                <w:kern w:val="0"/>
                <w:sz w:val="30"/>
                <w:szCs w:val="30"/>
                <w14:textFill>
                  <w14:solidFill>
                    <w14:schemeClr w14:val="tx1"/>
                  </w14:solidFill>
                </w14:textFill>
              </w:rPr>
              <w:t>%</w:t>
            </w:r>
            <w:r>
              <w:rPr>
                <w:rFonts w:hint="eastAsia" w:ascii="仿宋_GB2312" w:hAnsi="宋体" w:eastAsia="仿宋_GB2312" w:cs="宋体"/>
                <w:color w:val="000000" w:themeColor="text1"/>
                <w:w w:val="90"/>
                <w:kern w:val="0"/>
                <w:sz w:val="30"/>
                <w:szCs w:val="30"/>
                <w14:textFill>
                  <w14:solidFill>
                    <w14:schemeClr w14:val="tx1"/>
                  </w14:solidFill>
                </w14:textFill>
              </w:rPr>
              <w:t>）</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520" w:lineRule="exact"/>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“碳达峰、碳中和”背景</w:t>
            </w:r>
            <w:r>
              <w:rPr>
                <w:rFonts w:hint="eastAsia" w:ascii="仿宋_GB2312" w:hAnsi="仿宋_GB2312" w:eastAsia="仿宋_GB2312" w:cs="仿宋_GB2312"/>
                <w:color w:val="000000" w:themeColor="text1"/>
                <w:sz w:val="30"/>
                <w:szCs w:val="30"/>
                <w14:textFill>
                  <w14:solidFill>
                    <w14:schemeClr w14:val="tx1"/>
                  </w14:solidFill>
                </w14:textFill>
              </w:rPr>
              <w:t>下企业社会责任建设情况</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是否建立了履行产品质量担保和召回机制</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保障职工权益情况</w:t>
            </w:r>
          </w:p>
        </w:tc>
        <w:tc>
          <w:tcPr>
            <w:tcW w:w="2282" w:type="pct"/>
            <w:vAlign w:val="center"/>
          </w:tcPr>
          <w:p>
            <w:pPr>
              <w:widowControl/>
              <w:spacing w:before="100" w:beforeAutospacing="1" w:after="100" w:afterAutospacing="1" w:line="240" w:lineRule="atLeast"/>
              <w:rPr>
                <w:rFonts w:ascii="Arial" w:hAnsi="Arial" w:cs="Arial"/>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440"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8" w:type="pct"/>
            <w:vAlign w:val="center"/>
          </w:tcPr>
          <w:p>
            <w:pPr>
              <w:widowControl/>
              <w:spacing w:line="52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是否积极开展社会公益事业</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napToGrid w:val="0"/>
        <w:spacing w:before="156" w:after="156"/>
        <w:jc w:val="left"/>
        <w:rPr>
          <w:rFonts w:ascii="Times New Roman" w:hAnsi="宋体" w:cs="宋体"/>
          <w:b/>
          <w:bCs/>
          <w:color w:val="000000" w:themeColor="text1"/>
          <w:kern w:val="0"/>
          <w:sz w:val="32"/>
          <w:szCs w:val="24"/>
          <w14:textFill>
            <w14:solidFill>
              <w14:schemeClr w14:val="tx1"/>
            </w14:solidFill>
          </w14:textFill>
        </w:rPr>
      </w:pPr>
    </w:p>
    <w:p>
      <w:pPr>
        <w:widowControl/>
        <w:jc w:val="left"/>
        <w:rPr>
          <w:rFonts w:ascii="Times New Roman" w:hAnsi="宋体" w:cs="宋体"/>
          <w:b/>
          <w:bCs/>
          <w:color w:val="000000" w:themeColor="text1"/>
          <w:kern w:val="0"/>
          <w:sz w:val="32"/>
          <w:szCs w:val="24"/>
          <w14:textFill>
            <w14:solidFill>
              <w14:schemeClr w14:val="tx1"/>
            </w14:solidFill>
          </w14:textFill>
        </w:rPr>
      </w:pPr>
    </w:p>
    <w:p>
      <w:pPr>
        <w:widowControl/>
        <w:jc w:val="left"/>
        <w:rPr>
          <w:rFonts w:ascii="Times New Roman" w:hAnsi="宋体" w:cs="宋体"/>
          <w:b/>
          <w:bCs/>
          <w:color w:val="000000" w:themeColor="text1"/>
          <w:kern w:val="0"/>
          <w:sz w:val="32"/>
          <w:szCs w:val="24"/>
          <w14:textFill>
            <w14:solidFill>
              <w14:schemeClr w14:val="tx1"/>
            </w14:solidFill>
          </w14:textFill>
        </w:rPr>
      </w:pPr>
    </w:p>
    <w:p>
      <w:pPr>
        <w:widowControl/>
        <w:jc w:val="left"/>
        <w:rPr>
          <w:rFonts w:ascii="Times New Roman" w:hAnsi="宋体" w:cs="宋体"/>
          <w:b/>
          <w:bCs/>
          <w:color w:val="000000" w:themeColor="text1"/>
          <w:kern w:val="0"/>
          <w:sz w:val="32"/>
          <w:szCs w:val="24"/>
          <w14:textFill>
            <w14:solidFill>
              <w14:schemeClr w14:val="tx1"/>
            </w14:solidFill>
          </w14:textFill>
        </w:r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2-9  </w:t>
      </w:r>
      <w:r>
        <w:rPr>
          <w:rFonts w:hint="eastAsia" w:ascii="Times New Roman" w:hAnsi="宋体" w:cs="宋体"/>
          <w:b/>
          <w:bCs/>
          <w:color w:val="000000" w:themeColor="text1"/>
          <w:kern w:val="0"/>
          <w:sz w:val="32"/>
          <w:szCs w:val="24"/>
          <w14:textFill>
            <w14:solidFill>
              <w14:schemeClr w14:val="tx1"/>
            </w14:solidFill>
          </w14:textFill>
        </w:rPr>
        <w:t>考评项目：企业管理</w:t>
      </w:r>
    </w:p>
    <w:tbl>
      <w:tblPr>
        <w:tblStyle w:val="15"/>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998"/>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439"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企</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业</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管</w:t>
            </w:r>
          </w:p>
          <w:p>
            <w:pPr>
              <w:widowControl/>
              <w:spacing w:line="4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理</w:t>
            </w:r>
          </w:p>
        </w:tc>
        <w:tc>
          <w:tcPr>
            <w:tcW w:w="2277"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282" w:type="pct"/>
            <w:vAlign w:val="center"/>
          </w:tcPr>
          <w:p>
            <w:pPr>
              <w:widowControl/>
              <w:spacing w:line="7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战略规划与管理</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现代企业制度建设</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6"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管理模式</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财务管理制度建设情况</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520" w:lineRule="exact"/>
              <w:jc w:val="left"/>
              <w:rPr>
                <w:rFonts w:ascii="宋体"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管理人员比例（</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0"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spacing w:line="52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管理创新成果</w:t>
            </w:r>
          </w:p>
        </w:tc>
        <w:tc>
          <w:tcPr>
            <w:tcW w:w="2282" w:type="pct"/>
            <w:vAlign w:val="center"/>
          </w:tcPr>
          <w:p>
            <w:pPr>
              <w:spacing w:line="700" w:lineRule="exact"/>
              <w:jc w:val="left"/>
              <w:rPr>
                <w:rFonts w:ascii="Times New Roman" w:hAnsi="Times New Roman" w:eastAsia="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国际化经营情况</w:t>
            </w:r>
          </w:p>
        </w:tc>
        <w:tc>
          <w:tcPr>
            <w:tcW w:w="2282" w:type="pct"/>
            <w:vAlign w:val="center"/>
          </w:tcPr>
          <w:p>
            <w:pPr>
              <w:widowControl/>
              <w:spacing w:line="7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0"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60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是否为制造业单项冠军示范企业、获得单项冠军产品，是否为“专精特新”小巨人企业（具体批次）</w:t>
            </w:r>
          </w:p>
        </w:tc>
        <w:tc>
          <w:tcPr>
            <w:tcW w:w="2282" w:type="pct"/>
            <w:vAlign w:val="center"/>
          </w:tcPr>
          <w:p>
            <w:pPr>
              <w:widowControl/>
              <w:spacing w:line="700" w:lineRule="exact"/>
              <w:jc w:val="left"/>
              <w:rPr>
                <w:rFonts w:ascii="Times New Roman" w:hAnsi="Times New Roman" w:eastAsia="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439" w:type="pct"/>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77" w:type="pct"/>
            <w:vAlign w:val="center"/>
          </w:tcPr>
          <w:p>
            <w:pPr>
              <w:widowControl/>
              <w:spacing w:line="700" w:lineRule="exact"/>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是否制定</w:t>
            </w:r>
            <w:r>
              <w:rPr>
                <w:rFonts w:hint="eastAsia" w:ascii="Times New Roman" w:hAnsi="宋体" w:eastAsia="仿宋_GB2312" w:cs="宋体"/>
                <w:color w:val="000000" w:themeColor="text1"/>
                <w:kern w:val="0"/>
                <w:sz w:val="30"/>
                <w:szCs w:val="30"/>
                <w14:textFill>
                  <w14:solidFill>
                    <w14:schemeClr w14:val="tx1"/>
                  </w14:solidFill>
                </w14:textFill>
              </w:rPr>
              <w:t>切实可行的碳达峰、碳中和规划实施</w:t>
            </w:r>
            <w:r>
              <w:rPr>
                <w:rFonts w:hint="eastAsia" w:ascii="仿宋_GB2312" w:hAnsi="仿宋_GB2312" w:eastAsia="仿宋_GB2312" w:cs="仿宋_GB2312"/>
                <w:color w:val="000000" w:themeColor="text1"/>
                <w:sz w:val="30"/>
                <w:szCs w:val="30"/>
                <w14:textFill>
                  <w14:solidFill>
                    <w14:schemeClr w14:val="tx1"/>
                  </w14:solidFill>
                </w14:textFill>
              </w:rPr>
              <w:t>方案、编制碳排查报告，以及在减排降碳方面建立规章制度</w:t>
            </w:r>
          </w:p>
        </w:tc>
        <w:tc>
          <w:tcPr>
            <w:tcW w:w="2282" w:type="pct"/>
            <w:vAlign w:val="center"/>
          </w:tcPr>
          <w:p>
            <w:pPr>
              <w:widowControl/>
              <w:spacing w:line="700" w:lineRule="exact"/>
              <w:jc w:val="left"/>
              <w:rPr>
                <w:rFonts w:ascii="Times New Roman" w:hAnsi="Times New Roman" w:eastAsia="仿宋_GB2312"/>
                <w:color w:val="000000" w:themeColor="text1"/>
                <w:kern w:val="0"/>
                <w:sz w:val="30"/>
                <w:szCs w:val="30"/>
                <w14:textFill>
                  <w14:solidFill>
                    <w14:schemeClr w14:val="tx1"/>
                  </w14:solidFill>
                </w14:textFill>
              </w:rPr>
            </w:pP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2-10  </w:t>
      </w:r>
      <w:r>
        <w:rPr>
          <w:rFonts w:hint="eastAsia" w:ascii="Times New Roman" w:hAnsi="宋体" w:cs="宋体"/>
          <w:b/>
          <w:bCs/>
          <w:color w:val="000000" w:themeColor="text1"/>
          <w:kern w:val="0"/>
          <w:sz w:val="32"/>
          <w:szCs w:val="24"/>
          <w14:textFill>
            <w14:solidFill>
              <w14:schemeClr w14:val="tx1"/>
            </w14:solidFill>
          </w14:textFill>
        </w:rPr>
        <w:t>考评项目：人力资源</w:t>
      </w:r>
    </w:p>
    <w:tbl>
      <w:tblPr>
        <w:tblStyle w:val="15"/>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931"/>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426"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人</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力</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资</w:t>
            </w:r>
          </w:p>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源</w:t>
            </w:r>
          </w:p>
        </w:tc>
        <w:tc>
          <w:tcPr>
            <w:tcW w:w="2234" w:type="pct"/>
            <w:vAlign w:val="center"/>
          </w:tcPr>
          <w:p>
            <w:pPr>
              <w:widowControl/>
              <w:spacing w:line="5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340" w:type="pct"/>
            <w:vAlign w:val="center"/>
          </w:tcPr>
          <w:p>
            <w:pPr>
              <w:widowControl/>
              <w:spacing w:line="5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年度全员劳动生产率（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人均销售收入、人均净利润及工资总额增长率</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高层次专业人才和高素质企业管理人才占员工总数的比例（</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大专（含）以上学历人数及占职工总人数比率（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中级（含）以上职称人数及占职工总人数比率（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培训经费投入率及受培训员工占职工总人数比率（</w:t>
            </w:r>
            <w:r>
              <w:rPr>
                <w:rFonts w:hint="eastAsia" w:ascii="仿宋_GB2312" w:hAnsi="Times New Roman" w:eastAsia="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仿宋_GB2312"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人才发展战略</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2-11  </w:t>
      </w:r>
      <w:r>
        <w:rPr>
          <w:rFonts w:hint="eastAsia" w:ascii="Times New Roman" w:hAnsi="宋体" w:cs="宋体"/>
          <w:b/>
          <w:bCs/>
          <w:color w:val="000000" w:themeColor="text1"/>
          <w:kern w:val="0"/>
          <w:sz w:val="32"/>
          <w:szCs w:val="24"/>
          <w14:textFill>
            <w14:solidFill>
              <w14:schemeClr w14:val="tx1"/>
            </w14:solidFill>
          </w14:textFill>
        </w:rPr>
        <w:t>考评项目：企业文化</w:t>
      </w:r>
    </w:p>
    <w:tbl>
      <w:tblPr>
        <w:tblStyle w:val="15"/>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931"/>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426" w:type="pct"/>
            <w:vMerge w:val="restart"/>
            <w:vAlign w:val="center"/>
          </w:tcPr>
          <w:p>
            <w:pPr>
              <w:widowControl/>
              <w:spacing w:before="100" w:beforeAutospacing="1" w:after="100" w:afterAutospacing="1" w:line="44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bCs/>
                <w:color w:val="000000" w:themeColor="text1"/>
                <w:kern w:val="0"/>
                <w:sz w:val="30"/>
                <w:szCs w:val="30"/>
                <w14:textFill>
                  <w14:solidFill>
                    <w14:schemeClr w14:val="tx1"/>
                  </w14:solidFill>
                </w14:textFill>
              </w:rPr>
              <w:t>企业文化</w:t>
            </w:r>
          </w:p>
        </w:tc>
        <w:tc>
          <w:tcPr>
            <w:tcW w:w="2234" w:type="pct"/>
            <w:vAlign w:val="center"/>
          </w:tcPr>
          <w:p>
            <w:pPr>
              <w:widowControl/>
              <w:spacing w:line="5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宋体" w:cs="宋体"/>
                <w:b/>
                <w:color w:val="000000" w:themeColor="text1"/>
                <w:kern w:val="0"/>
                <w:sz w:val="30"/>
                <w:szCs w:val="30"/>
                <w14:textFill>
                  <w14:solidFill>
                    <w14:schemeClr w14:val="tx1"/>
                  </w14:solidFill>
                </w14:textFill>
              </w:rPr>
              <w:t>考评内容</w:t>
            </w:r>
          </w:p>
        </w:tc>
        <w:tc>
          <w:tcPr>
            <w:tcW w:w="2340" w:type="pct"/>
            <w:vAlign w:val="center"/>
          </w:tcPr>
          <w:p>
            <w:pPr>
              <w:widowControl/>
              <w:spacing w:line="500" w:lineRule="exact"/>
              <w:jc w:val="center"/>
              <w:rPr>
                <w:rFonts w:ascii="宋体" w:cs="宋体"/>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30"/>
                <w:szCs w:val="30"/>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企业精神</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企业核心价值观</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2"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企业宗旨</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企业使命</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企业行为准则</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7"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企业文化建设</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2" w:hRule="atLeast"/>
        </w:trPr>
        <w:tc>
          <w:tcPr>
            <w:tcW w:w="0" w:type="auto"/>
            <w:vMerge w:val="continue"/>
            <w:vAlign w:val="center"/>
          </w:tcPr>
          <w:p>
            <w:pPr>
              <w:widowControl/>
              <w:jc w:val="left"/>
              <w:rPr>
                <w:rFonts w:ascii="宋体" w:cs="宋体"/>
                <w:color w:val="000000" w:themeColor="text1"/>
                <w:kern w:val="0"/>
                <w:sz w:val="24"/>
                <w:szCs w:val="24"/>
                <w14:textFill>
                  <w14:solidFill>
                    <w14:schemeClr w14:val="tx1"/>
                  </w14:solidFill>
                </w14:textFill>
              </w:rPr>
            </w:pPr>
          </w:p>
        </w:tc>
        <w:tc>
          <w:tcPr>
            <w:tcW w:w="2234"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模范人物及先进事迹</w:t>
            </w:r>
          </w:p>
        </w:tc>
        <w:tc>
          <w:tcPr>
            <w:tcW w:w="2340" w:type="pct"/>
            <w:vAlign w:val="center"/>
          </w:tcPr>
          <w:p>
            <w:pPr>
              <w:widowControl/>
              <w:spacing w:line="500" w:lineRule="exact"/>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30"/>
                <w:szCs w:val="30"/>
                <w14:textFill>
                  <w14:solidFill>
                    <w14:schemeClr w14:val="tx1"/>
                  </w14:solidFill>
                </w14:textFill>
              </w:rPr>
              <w:t> </w:t>
            </w:r>
          </w:p>
        </w:tc>
      </w:tr>
    </w:tbl>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3  </w:t>
      </w:r>
      <w:r>
        <w:rPr>
          <w:rFonts w:hint="eastAsia" w:ascii="Times New Roman" w:hAnsi="Times New Roman" w:cs="宋体"/>
          <w:b/>
          <w:bCs/>
          <w:color w:val="000000" w:themeColor="text1"/>
          <w:kern w:val="0"/>
          <w:sz w:val="32"/>
          <w:szCs w:val="24"/>
          <w14:textFill>
            <w14:solidFill>
              <w14:schemeClr w14:val="tx1"/>
            </w14:solidFill>
          </w14:textFill>
        </w:rPr>
        <w:t>企业综合报告</w:t>
      </w:r>
      <w:r>
        <w:rPr>
          <w:rFonts w:hint="eastAsia" w:ascii="Times New Roman" w:hAnsi="Times New Roman" w:cs="宋体"/>
          <w:color w:val="000000" w:themeColor="text1"/>
          <w:kern w:val="0"/>
          <w:sz w:val="32"/>
          <w:szCs w:val="24"/>
          <w14:textFill>
            <w14:solidFill>
              <w14:schemeClr w14:val="tx1"/>
            </w14:solidFill>
          </w14:textFill>
        </w:rPr>
        <w:t>（文字另附）</w:t>
      </w:r>
    </w:p>
    <w:tbl>
      <w:tblPr>
        <w:tblStyle w:val="15"/>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7"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b/>
                <w:color w:val="000000" w:themeColor="text1"/>
                <w:kern w:val="0"/>
                <w:sz w:val="30"/>
                <w:szCs w:val="30"/>
                <w14:textFill>
                  <w14:solidFill>
                    <w14:schemeClr w14:val="tx1"/>
                  </w14:solidFill>
                </w14:textFill>
              </w:rPr>
              <w:t>报告内容：</w:t>
            </w:r>
            <w:r>
              <w:rPr>
                <w:rFonts w:hint="eastAsia" w:ascii="Times New Roman" w:hAnsi="宋体" w:eastAsia="仿宋_GB2312" w:cs="宋体"/>
                <w:color w:val="000000" w:themeColor="text1"/>
                <w:kern w:val="0"/>
                <w:sz w:val="30"/>
                <w:szCs w:val="30"/>
                <w14:textFill>
                  <w14:solidFill>
                    <w14:schemeClr w14:val="tx1"/>
                  </w14:solidFill>
                </w14:textFill>
              </w:rPr>
              <w:t>（限</w:t>
            </w:r>
            <w:r>
              <w:rPr>
                <w:rFonts w:ascii="Times New Roman" w:hAnsi="Times New Roman" w:eastAsia="仿宋_GB2312"/>
                <w:color w:val="000000" w:themeColor="text1"/>
                <w:kern w:val="0"/>
                <w:sz w:val="30"/>
                <w:szCs w:val="30"/>
                <w14:textFill>
                  <w14:solidFill>
                    <w14:schemeClr w14:val="tx1"/>
                  </w14:solidFill>
                </w14:textFill>
              </w:rPr>
              <w:t>1</w:t>
            </w:r>
            <w:r>
              <w:rPr>
                <w:rFonts w:hint="eastAsia" w:ascii="Times New Roman" w:hAnsi="宋体" w:eastAsia="仿宋_GB2312" w:cs="宋体"/>
                <w:color w:val="000000" w:themeColor="text1"/>
                <w:kern w:val="0"/>
                <w:sz w:val="30"/>
                <w:szCs w:val="30"/>
                <w14:textFill>
                  <w14:solidFill>
                    <w14:schemeClr w14:val="tx1"/>
                  </w14:solidFill>
                </w14:textFill>
              </w:rPr>
              <w:t>万字以内）</w:t>
            </w:r>
          </w:p>
          <w:p>
            <w:pPr>
              <w:widowControl/>
              <w:spacing w:line="520" w:lineRule="exact"/>
              <w:ind w:firstLine="600"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一、企业概况。</w:t>
            </w:r>
          </w:p>
          <w:p>
            <w:pPr>
              <w:widowControl/>
              <w:spacing w:line="520" w:lineRule="exact"/>
              <w:ind w:firstLine="600"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二、企业组织结构图。</w:t>
            </w:r>
          </w:p>
          <w:p>
            <w:pPr>
              <w:widowControl/>
              <w:spacing w:line="520" w:lineRule="exact"/>
              <w:ind w:firstLine="600"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三、</w:t>
            </w:r>
            <w:r>
              <w:rPr>
                <w:rFonts w:hint="eastAsia" w:ascii="仿宋_GB2312" w:hAnsi="仿宋" w:eastAsia="仿宋_GB2312"/>
                <w:color w:val="000000" w:themeColor="text1"/>
                <w:sz w:val="30"/>
                <w:szCs w:val="30"/>
                <w14:textFill>
                  <w14:solidFill>
                    <w14:schemeClr w14:val="tx1"/>
                  </w14:solidFill>
                </w14:textFill>
              </w:rPr>
              <w:t>实现结构转型升级，促进创新链和产业链深度融合，对增强综合国力、促进国民经济和社会发展做出的重大贡献。</w:t>
            </w:r>
          </w:p>
          <w:p>
            <w:pPr>
              <w:widowControl/>
              <w:spacing w:line="520" w:lineRule="exact"/>
              <w:ind w:firstLine="600" w:firstLineChars="200"/>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四、加强信息化建设，</w:t>
            </w:r>
            <w:r>
              <w:rPr>
                <w:rFonts w:hint="eastAsia" w:ascii="仿宋_GB2312" w:hAnsi="仿宋" w:eastAsia="仿宋_GB2312"/>
                <w:color w:val="000000" w:themeColor="text1"/>
                <w:sz w:val="30"/>
                <w:szCs w:val="30"/>
                <w14:textFill>
                  <w14:solidFill>
                    <w14:schemeClr w14:val="tx1"/>
                  </w14:solidFill>
                </w14:textFill>
              </w:rPr>
              <w:t>贯彻实施两化深度融合，</w:t>
            </w:r>
            <w:r>
              <w:rPr>
                <w:rFonts w:hint="eastAsia" w:ascii="Times New Roman" w:hAnsi="宋体" w:eastAsia="仿宋_GB2312" w:cs="宋体"/>
                <w:color w:val="000000" w:themeColor="text1"/>
                <w:kern w:val="0"/>
                <w:sz w:val="30"/>
                <w:szCs w:val="30"/>
                <w14:textFill>
                  <w14:solidFill>
                    <w14:schemeClr w14:val="tx1"/>
                  </w14:solidFill>
                </w14:textFill>
              </w:rPr>
              <w:t>在关键领域取得重大突破，拥有关键核心技术和自主知识产权，在解决“卡脖子”和瓶颈问题等方面取得突破和创新成果，依靠科技创新提升国际竞争力。</w:t>
            </w:r>
          </w:p>
          <w:p>
            <w:pPr>
              <w:widowControl/>
              <w:spacing w:line="520" w:lineRule="exact"/>
              <w:ind w:firstLine="600" w:firstLineChars="200"/>
              <w:jc w:val="left"/>
              <w:rPr>
                <w:rFonts w:ascii="仿宋_GB2312" w:hAnsi="仿宋" w:eastAsia="仿宋_GB2312"/>
                <w:color w:val="000000" w:themeColor="text1"/>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五、质量、效益、安全生产、减排降碳等主要指标达到国际同行业领先水平，</w:t>
            </w:r>
            <w:r>
              <w:rPr>
                <w:rFonts w:hint="eastAsia" w:ascii="仿宋_GB2312" w:hAnsi="仿宋" w:eastAsia="仿宋_GB2312"/>
                <w:color w:val="000000" w:themeColor="text1"/>
                <w:sz w:val="30"/>
                <w:szCs w:val="30"/>
                <w14:textFill>
                  <w14:solidFill>
                    <w14:schemeClr w14:val="tx1"/>
                  </w14:solidFill>
                </w14:textFill>
              </w:rPr>
              <w:t>在实行绿色生产、生态文明建设、实现可持续发展等方面表现突出。</w:t>
            </w:r>
          </w:p>
          <w:p>
            <w:pPr>
              <w:widowControl/>
              <w:spacing w:line="520" w:lineRule="exact"/>
              <w:ind w:firstLine="600" w:firstLineChars="200"/>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六、“碳达峰、碳中和”五年规划情况及年度实现目标，相应的规章制度、行动方案制定与实施情况，以及取得的实际成效。</w:t>
            </w:r>
          </w:p>
          <w:p>
            <w:pPr>
              <w:widowControl/>
              <w:spacing w:line="520" w:lineRule="exact"/>
              <w:ind w:firstLine="600" w:firstLineChars="200"/>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七、在提升供给质量、推进品牌战略方面的措施和成效。</w:t>
            </w:r>
          </w:p>
          <w:p>
            <w:pPr>
              <w:widowControl/>
              <w:spacing w:line="520" w:lineRule="exact"/>
              <w:ind w:firstLine="600"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八、在创新驱动、供给侧结构性改革、企业转型升级以及“一带一路”国际合作等过程中的先进做法和成功经验。</w:t>
            </w:r>
          </w:p>
          <w:p>
            <w:pPr>
              <w:widowControl/>
              <w:spacing w:line="520" w:lineRule="exact"/>
              <w:ind w:firstLine="600" w:firstLineChars="200"/>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九、履行社会责任。</w:t>
            </w:r>
          </w:p>
          <w:p>
            <w:pPr>
              <w:widowControl/>
              <w:spacing w:line="520" w:lineRule="exact"/>
              <w:ind w:firstLine="600" w:firstLineChars="200"/>
              <w:jc w:val="left"/>
              <w:rPr>
                <w:rFonts w:ascii="Times New Roman" w:hAnsi="宋体" w:eastAsia="仿宋_GB2312" w:cs="宋体"/>
                <w:color w:val="000000" w:themeColor="text1"/>
                <w:kern w:val="0"/>
                <w:sz w:val="30"/>
                <w:szCs w:val="30"/>
                <w14:textFill>
                  <w14:solidFill>
                    <w14:schemeClr w14:val="tx1"/>
                  </w14:solidFill>
                </w14:textFill>
              </w:rPr>
            </w:pPr>
            <w:r>
              <w:rPr>
                <w:rFonts w:hint="eastAsia" w:ascii="Times New Roman" w:hAnsi="宋体" w:eastAsia="仿宋_GB2312" w:cs="宋体"/>
                <w:color w:val="000000" w:themeColor="text1"/>
                <w:kern w:val="0"/>
                <w:sz w:val="30"/>
                <w:szCs w:val="30"/>
                <w14:textFill>
                  <w14:solidFill>
                    <w14:schemeClr w14:val="tx1"/>
                  </w14:solidFill>
                </w14:textFill>
              </w:rPr>
              <w:t>十、企业文化建设。</w:t>
            </w:r>
          </w:p>
          <w:p>
            <w:pPr>
              <w:widowControl/>
              <w:jc w:val="left"/>
              <w:rPr>
                <w:rFonts w:ascii="宋体" w:cs="宋体"/>
                <w:color w:val="000000" w:themeColor="text1"/>
                <w:kern w:val="0"/>
                <w:sz w:val="24"/>
                <w:szCs w:val="24"/>
                <w14:textFill>
                  <w14:solidFill>
                    <w14:schemeClr w14:val="tx1"/>
                  </w14:solidFill>
                </w14:textFill>
              </w:rPr>
            </w:pPr>
          </w:p>
          <w:p>
            <w:pPr>
              <w:widowControl/>
              <w:spacing w:before="156" w:after="156"/>
              <w:ind w:firstLine="588" w:firstLineChars="196"/>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董事长/总经理</w:t>
            </w:r>
            <w:r>
              <w:rPr>
                <w:rFonts w:ascii="Times New Roman" w:hAnsi="Times New Roman" w:eastAsia="黑体"/>
                <w:color w:val="000000" w:themeColor="text1"/>
                <w:kern w:val="0"/>
                <w:sz w:val="30"/>
                <w:szCs w:val="30"/>
                <w14:textFill>
                  <w14:solidFill>
                    <w14:schemeClr w14:val="tx1"/>
                  </w14:solidFill>
                </w14:textFill>
              </w:rPr>
              <w:t>/</w:t>
            </w:r>
            <w:r>
              <w:rPr>
                <w:rFonts w:hint="eastAsia" w:ascii="Times New Roman" w:hAnsi="宋体" w:eastAsia="黑体" w:cs="宋体"/>
                <w:color w:val="000000" w:themeColor="text1"/>
                <w:kern w:val="0"/>
                <w:sz w:val="30"/>
                <w:szCs w:val="30"/>
                <w14:textFill>
                  <w14:solidFill>
                    <w14:schemeClr w14:val="tx1"/>
                  </w14:solidFill>
                </w14:textFill>
              </w:rPr>
              <w:t>总裁：</w:t>
            </w:r>
            <w:r>
              <w:rPr>
                <w:rFonts w:hint="eastAsia" w:ascii="Times New Roman" w:hAnsi="Times New Roman" w:cs="宋体"/>
                <w:color w:val="000000" w:themeColor="text1"/>
                <w:kern w:val="0"/>
                <w:sz w:val="30"/>
                <w:szCs w:val="30"/>
                <w14:textFill>
                  <w14:solidFill>
                    <w14:schemeClr w14:val="tx1"/>
                  </w14:solidFill>
                </w14:textFill>
              </w:rPr>
              <w:t>（签章）</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宋体" w:eastAsia="黑体" w:cs="宋体"/>
                <w:color w:val="000000" w:themeColor="text1"/>
                <w:kern w:val="0"/>
                <w:sz w:val="30"/>
                <w:szCs w:val="30"/>
                <w14:textFill>
                  <w14:solidFill>
                    <w14:schemeClr w14:val="tx1"/>
                  </w14:solidFill>
                </w14:textFill>
              </w:rPr>
              <w:t>单位：</w:t>
            </w:r>
            <w:r>
              <w:rPr>
                <w:rFonts w:hint="eastAsia" w:ascii="Times New Roman" w:hAnsi="Times New Roman" w:cs="宋体"/>
                <w:color w:val="000000" w:themeColor="text1"/>
                <w:kern w:val="0"/>
                <w:sz w:val="30"/>
                <w:szCs w:val="30"/>
                <w14:textFill>
                  <w14:solidFill>
                    <w14:schemeClr w14:val="tx1"/>
                  </w14:solidFill>
                </w14:textFill>
              </w:rPr>
              <w:t>（盖章）</w:t>
            </w:r>
          </w:p>
          <w:p>
            <w:pPr>
              <w:widowControl/>
              <w:spacing w:before="156" w:after="156"/>
              <w:ind w:firstLine="600"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olor w:val="000000" w:themeColor="text1"/>
                <w:kern w:val="0"/>
                <w:sz w:val="30"/>
                <w:szCs w:val="30"/>
                <w14:textFill>
                  <w14:solidFill>
                    <w14:schemeClr w14:val="tx1"/>
                  </w14:solidFill>
                </w14:textFill>
              </w:rPr>
              <w:t xml:space="preserve">   </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tabs>
          <w:tab w:val="right" w:pos="8617"/>
        </w:tabs>
        <w:snapToGrid w:val="0"/>
        <w:spacing w:before="156" w:after="156"/>
        <w:jc w:val="left"/>
        <w:rPr>
          <w:rFonts w:ascii="宋体" w:cs="宋体"/>
          <w:color w:val="000000" w:themeColor="text1"/>
          <w:w w:val="90"/>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4-1  </w:t>
      </w:r>
      <w:r>
        <w:rPr>
          <w:rFonts w:hint="eastAsia" w:ascii="Times New Roman" w:hAnsi="Times New Roman" w:cs="宋体"/>
          <w:b/>
          <w:color w:val="000000" w:themeColor="text1"/>
          <w:w w:val="90"/>
          <w:kern w:val="0"/>
          <w:sz w:val="36"/>
          <w:szCs w:val="24"/>
          <w14:textFill>
            <w14:solidFill>
              <w14:schemeClr w14:val="tx1"/>
            </w14:solidFill>
          </w14:textFill>
        </w:rPr>
        <w:t>省（区、市）工业经济联合会（协会）资格审查意见</w:t>
      </w:r>
    </w:p>
    <w:tbl>
      <w:tblPr>
        <w:tblStyle w:val="1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9"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600"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bCs/>
                <w:color w:val="000000" w:themeColor="text1"/>
                <w:kern w:val="0"/>
                <w:sz w:val="30"/>
                <w:szCs w:val="30"/>
                <w14:textFill>
                  <w14:solidFill>
                    <w14:schemeClr w14:val="tx1"/>
                  </w14:solidFill>
                </w14:textFill>
              </w:rPr>
              <w:t> </w:t>
            </w:r>
          </w:p>
          <w:p>
            <w:pPr>
              <w:widowControl/>
              <w:spacing w:before="156" w:after="156"/>
              <w:ind w:firstLine="600"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bCs/>
                <w:color w:val="000000" w:themeColor="text1"/>
                <w:kern w:val="0"/>
                <w:sz w:val="30"/>
                <w:szCs w:val="30"/>
                <w14:textFill>
                  <w14:solidFill>
                    <w14:schemeClr w14:val="tx1"/>
                  </w14:solidFill>
                </w14:textFill>
              </w:rPr>
              <w:t> </w:t>
            </w: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负责人：</w:t>
            </w:r>
            <w:r>
              <w:rPr>
                <w:rFonts w:hint="eastAsia" w:ascii="Times New Roman" w:hAnsi="Times New Roman" w:cs="宋体"/>
                <w:color w:val="000000" w:themeColor="text1"/>
                <w:kern w:val="0"/>
                <w:sz w:val="30"/>
                <w:szCs w:val="30"/>
                <w14:textFill>
                  <w14:solidFill>
                    <w14:schemeClr w14:val="tx1"/>
                  </w14:solidFill>
                </w14:textFill>
              </w:rPr>
              <w:t>（签章）</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宋体" w:eastAsia="黑体" w:cs="宋体"/>
                <w:color w:val="000000" w:themeColor="text1"/>
                <w:kern w:val="0"/>
                <w:sz w:val="30"/>
                <w:szCs w:val="30"/>
                <w14:textFill>
                  <w14:solidFill>
                    <w14:schemeClr w14:val="tx1"/>
                  </w14:solidFill>
                </w14:textFill>
              </w:rPr>
              <w:t>单位：</w:t>
            </w:r>
            <w:r>
              <w:rPr>
                <w:rFonts w:hint="eastAsia" w:ascii="Times New Roman" w:hAnsi="Times New Roman" w:cs="宋体"/>
                <w:color w:val="000000" w:themeColor="text1"/>
                <w:kern w:val="0"/>
                <w:sz w:val="30"/>
                <w:szCs w:val="30"/>
                <w14:textFill>
                  <w14:solidFill>
                    <w14:schemeClr w14:val="tx1"/>
                  </w14:solidFill>
                </w14:textFill>
              </w:rPr>
              <w:t>（盖章）</w:t>
            </w:r>
          </w:p>
          <w:p>
            <w:pPr>
              <w:widowControl/>
              <w:spacing w:before="156" w:after="156"/>
              <w:ind w:firstLine="1200" w:firstLineChars="400"/>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eastAsia="仿宋_GB2312"/>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tabs>
          <w:tab w:val="right" w:pos="8617"/>
        </w:tabs>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4-2  </w:t>
      </w:r>
      <w:r>
        <w:rPr>
          <w:rFonts w:hint="eastAsia" w:ascii="Times New Roman" w:hAnsi="Times New Roman" w:cs="宋体"/>
          <w:b/>
          <w:color w:val="000000" w:themeColor="text1"/>
          <w:kern w:val="0"/>
          <w:sz w:val="36"/>
          <w:szCs w:val="36"/>
          <w14:textFill>
            <w14:solidFill>
              <w14:schemeClr w14:val="tx1"/>
            </w14:solidFill>
          </w14:textFill>
        </w:rPr>
        <w:t>全国性工业行业联合会（协会）资格审查意见</w:t>
      </w:r>
    </w:p>
    <w:tbl>
      <w:tblPr>
        <w:tblStyle w:val="15"/>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7"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588" w:firstLineChars="196"/>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负责人：</w:t>
            </w:r>
            <w:r>
              <w:rPr>
                <w:rFonts w:hint="eastAsia" w:ascii="Times New Roman" w:hAnsi="Times New Roman" w:cs="宋体"/>
                <w:color w:val="000000" w:themeColor="text1"/>
                <w:kern w:val="0"/>
                <w:sz w:val="30"/>
                <w:szCs w:val="30"/>
                <w14:textFill>
                  <w14:solidFill>
                    <w14:schemeClr w14:val="tx1"/>
                  </w14:solidFill>
                </w14:textFill>
              </w:rPr>
              <w:t>（签章）</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宋体" w:eastAsia="黑体" w:cs="宋体"/>
                <w:color w:val="000000" w:themeColor="text1"/>
                <w:kern w:val="0"/>
                <w:sz w:val="30"/>
                <w:szCs w:val="30"/>
                <w14:textFill>
                  <w14:solidFill>
                    <w14:schemeClr w14:val="tx1"/>
                  </w14:solidFill>
                </w14:textFill>
              </w:rPr>
              <w:t>单位：</w:t>
            </w:r>
            <w:r>
              <w:rPr>
                <w:rFonts w:hint="eastAsia" w:ascii="Times New Roman" w:hAnsi="Times New Roman" w:cs="宋体"/>
                <w:color w:val="000000" w:themeColor="text1"/>
                <w:kern w:val="0"/>
                <w:sz w:val="30"/>
                <w:szCs w:val="30"/>
                <w14:textFill>
                  <w14:solidFill>
                    <w14:schemeClr w14:val="tx1"/>
                  </w14:solidFill>
                </w14:textFill>
              </w:rPr>
              <w:t>（盖章）</w:t>
            </w:r>
          </w:p>
          <w:p>
            <w:pPr>
              <w:widowControl/>
              <w:spacing w:before="156" w:after="156"/>
              <w:ind w:firstLine="1200" w:firstLineChars="400"/>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p>
            <w:pPr>
              <w:widowControl/>
              <w:spacing w:before="156" w:after="156"/>
              <w:ind w:firstLine="4485" w:firstLineChars="1495"/>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tabs>
          <w:tab w:val="right" w:pos="8617"/>
        </w:tabs>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5                 </w:t>
      </w:r>
      <w:r>
        <w:rPr>
          <w:rFonts w:hint="eastAsia" w:ascii="Times New Roman" w:hAnsi="Times New Roman" w:cs="宋体"/>
          <w:b/>
          <w:color w:val="000000" w:themeColor="text1"/>
          <w:kern w:val="0"/>
          <w:sz w:val="36"/>
          <w:szCs w:val="36"/>
          <w14:textFill>
            <w14:solidFill>
              <w14:schemeClr w14:val="tx1"/>
            </w14:solidFill>
          </w14:textFill>
        </w:rPr>
        <w:t>行业评审意见</w:t>
      </w:r>
    </w:p>
    <w:tbl>
      <w:tblPr>
        <w:tblStyle w:val="15"/>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1"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评审组组长：</w:t>
            </w:r>
            <w:r>
              <w:rPr>
                <w:rFonts w:ascii="Times New Roman" w:hAnsi="宋体" w:eastAsia="黑体" w:cs="宋体"/>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（签字）</w:t>
            </w:r>
          </w:p>
          <w:p>
            <w:pPr>
              <w:widowControl/>
              <w:spacing w:before="156" w:after="156"/>
              <w:ind w:firstLine="4485" w:firstLineChars="1495"/>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6                  </w:t>
      </w:r>
      <w:r>
        <w:rPr>
          <w:rFonts w:hint="eastAsia" w:ascii="Times New Roman" w:hAnsi="Times New Roman" w:cs="宋体"/>
          <w:b/>
          <w:color w:val="000000" w:themeColor="text1"/>
          <w:kern w:val="0"/>
          <w:sz w:val="36"/>
          <w:szCs w:val="36"/>
          <w14:textFill>
            <w14:solidFill>
              <w14:schemeClr w14:val="tx1"/>
            </w14:solidFill>
          </w14:textFill>
        </w:rPr>
        <w:t>综合评审意见</w:t>
      </w:r>
    </w:p>
    <w:tbl>
      <w:tblPr>
        <w:tblStyle w:val="15"/>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7"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67" w:firstLineChars="1289"/>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负责人：</w:t>
            </w:r>
            <w:r>
              <w:rPr>
                <w:rFonts w:hint="eastAsia" w:ascii="Times New Roman" w:hAnsi="Times New Roman" w:cs="宋体"/>
                <w:color w:val="000000" w:themeColor="text1"/>
                <w:kern w:val="0"/>
                <w:sz w:val="30"/>
                <w:szCs w:val="30"/>
                <w14:textFill>
                  <w14:solidFill>
                    <w14:schemeClr w14:val="tx1"/>
                  </w14:solidFill>
                </w14:textFill>
              </w:rPr>
              <w:t>（签字）</w:t>
            </w:r>
          </w:p>
          <w:p>
            <w:pPr>
              <w:widowControl/>
              <w:spacing w:before="156" w:after="156"/>
              <w:ind w:firstLine="4485" w:firstLineChars="1495"/>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7          </w:t>
      </w:r>
      <w:r>
        <w:rPr>
          <w:rFonts w:ascii="Times New Roman" w:hAnsi="Times New Roman"/>
          <w:b/>
          <w:color w:val="000000" w:themeColor="text1"/>
          <w:kern w:val="0"/>
          <w:sz w:val="36"/>
          <w:szCs w:val="36"/>
          <w14:textFill>
            <w14:solidFill>
              <w14:schemeClr w14:val="tx1"/>
            </w14:solidFill>
          </w14:textFill>
        </w:rPr>
        <w:t xml:space="preserve">     </w:t>
      </w:r>
      <w:r>
        <w:rPr>
          <w:rFonts w:hint="eastAsia" w:ascii="Times New Roman" w:hAnsi="Times New Roman" w:cs="宋体"/>
          <w:b/>
          <w:color w:val="000000" w:themeColor="text1"/>
          <w:kern w:val="0"/>
          <w:sz w:val="36"/>
          <w:szCs w:val="36"/>
          <w14:textFill>
            <w14:solidFill>
              <w14:schemeClr w14:val="tx1"/>
            </w14:solidFill>
          </w14:textFill>
        </w:rPr>
        <w:t>工作委员会意见</w:t>
      </w:r>
    </w:p>
    <w:tbl>
      <w:tblPr>
        <w:tblStyle w:val="15"/>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6"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822" w:firstLineChars="1274"/>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负责人：</w:t>
            </w:r>
            <w:r>
              <w:rPr>
                <w:rFonts w:hint="eastAsia" w:ascii="Times New Roman" w:hAnsi="Times New Roman" w:cs="宋体"/>
                <w:color w:val="000000" w:themeColor="text1"/>
                <w:kern w:val="0"/>
                <w:sz w:val="30"/>
                <w:szCs w:val="30"/>
                <w14:textFill>
                  <w14:solidFill>
                    <w14:schemeClr w14:val="tx1"/>
                  </w14:solidFill>
                </w14:textFill>
              </w:rPr>
              <w:t>（签字）</w:t>
            </w:r>
          </w:p>
          <w:p>
            <w:pPr>
              <w:widowControl/>
              <w:spacing w:before="156" w:after="156"/>
              <w:ind w:firstLine="4452"/>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b/>
          <w:bCs/>
          <w:color w:val="000000" w:themeColor="text1"/>
          <w:sz w:val="32"/>
          <w:szCs w:val="24"/>
          <w14:textFill>
            <w14:solidFill>
              <w14:schemeClr w14:val="tx1"/>
            </w14:solidFill>
          </w14:textFill>
        </w:rPr>
        <w:sectPr>
          <w:pgSz w:w="12240" w:h="15840"/>
          <w:pgMar w:top="1440" w:right="1800" w:bottom="1440" w:left="1800" w:header="720" w:footer="720" w:gutter="0"/>
          <w:cols w:space="720" w:num="1"/>
        </w:sectPr>
      </w:pPr>
    </w:p>
    <w:p>
      <w:pPr>
        <w:widowControl/>
        <w:snapToGrid w:val="0"/>
        <w:spacing w:before="156" w:after="156"/>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b/>
          <w:bCs/>
          <w:color w:val="000000" w:themeColor="text1"/>
          <w:kern w:val="0"/>
          <w:sz w:val="32"/>
          <w:szCs w:val="24"/>
          <w14:textFill>
            <w14:solidFill>
              <w14:schemeClr w14:val="tx1"/>
            </w14:solidFill>
          </w14:textFill>
        </w:rPr>
        <w:t>表</w:t>
      </w:r>
      <w:r>
        <w:rPr>
          <w:rFonts w:ascii="Times New Roman" w:hAnsi="Times New Roman"/>
          <w:b/>
          <w:bCs/>
          <w:color w:val="000000" w:themeColor="text1"/>
          <w:kern w:val="0"/>
          <w:sz w:val="32"/>
          <w:szCs w:val="24"/>
          <w14:textFill>
            <w14:solidFill>
              <w14:schemeClr w14:val="tx1"/>
            </w14:solidFill>
          </w14:textFill>
        </w:rPr>
        <w:t xml:space="preserve">8   </w:t>
      </w:r>
      <w:r>
        <w:rPr>
          <w:rFonts w:ascii="Times New Roman" w:hAnsi="Times New Roman"/>
          <w:b/>
          <w:color w:val="000000" w:themeColor="text1"/>
          <w:kern w:val="0"/>
          <w:sz w:val="36"/>
          <w:szCs w:val="36"/>
          <w14:textFill>
            <w14:solidFill>
              <w14:schemeClr w14:val="tx1"/>
            </w14:solidFill>
          </w14:textFill>
        </w:rPr>
        <w:t xml:space="preserve">            </w:t>
      </w:r>
      <w:r>
        <w:rPr>
          <w:rFonts w:hint="eastAsia" w:ascii="Times New Roman" w:hAnsi="Times New Roman" w:cs="宋体"/>
          <w:b/>
          <w:color w:val="000000" w:themeColor="text1"/>
          <w:kern w:val="0"/>
          <w:sz w:val="36"/>
          <w:szCs w:val="36"/>
          <w14:textFill>
            <w14:solidFill>
              <w14:schemeClr w14:val="tx1"/>
            </w14:solidFill>
          </w14:textFill>
        </w:rPr>
        <w:t>审定委员会意见</w:t>
      </w:r>
    </w:p>
    <w:tbl>
      <w:tblPr>
        <w:tblStyle w:val="15"/>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7" w:hRule="atLeast"/>
        </w:trPr>
        <w:tc>
          <w:tcPr>
            <w:tcW w:w="5000" w:type="pct"/>
          </w:tcPr>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jc w:val="left"/>
              <w:rPr>
                <w:rFonts w:ascii="宋体"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30"/>
                <w:szCs w:val="30"/>
                <w14:textFill>
                  <w14:solidFill>
                    <w14:schemeClr w14:val="tx1"/>
                  </w14:solidFill>
                </w14:textFill>
              </w:rPr>
              <w:t> </w:t>
            </w: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Times New Roman" w:hAnsi="宋体" w:eastAsia="黑体" w:cs="宋体"/>
                <w:color w:val="000000" w:themeColor="text1"/>
                <w:kern w:val="0"/>
                <w:sz w:val="30"/>
                <w:szCs w:val="30"/>
                <w14:textFill>
                  <w14:solidFill>
                    <w14:schemeClr w14:val="tx1"/>
                  </w14:solidFill>
                </w14:textFill>
              </w:rPr>
            </w:pPr>
          </w:p>
          <w:p>
            <w:pPr>
              <w:widowControl/>
              <w:spacing w:before="156" w:after="156"/>
              <w:ind w:firstLine="3792" w:firstLineChars="1264"/>
              <w:jc w:val="left"/>
              <w:rPr>
                <w:rFonts w:ascii="宋体" w:cs="宋体"/>
                <w:color w:val="000000" w:themeColor="text1"/>
                <w:kern w:val="0"/>
                <w:sz w:val="24"/>
                <w:szCs w:val="24"/>
                <w14:textFill>
                  <w14:solidFill>
                    <w14:schemeClr w14:val="tx1"/>
                  </w14:solidFill>
                </w14:textFill>
              </w:rPr>
            </w:pPr>
            <w:r>
              <w:rPr>
                <w:rFonts w:hint="eastAsia" w:ascii="Times New Roman" w:hAnsi="宋体" w:eastAsia="黑体" w:cs="宋体"/>
                <w:color w:val="000000" w:themeColor="text1"/>
                <w:kern w:val="0"/>
                <w:sz w:val="30"/>
                <w:szCs w:val="30"/>
                <w14:textFill>
                  <w14:solidFill>
                    <w14:schemeClr w14:val="tx1"/>
                  </w14:solidFill>
                </w14:textFill>
              </w:rPr>
              <w:t>负责人：</w:t>
            </w:r>
            <w:r>
              <w:rPr>
                <w:rFonts w:hint="eastAsia" w:ascii="Times New Roman" w:hAnsi="Times New Roman" w:cs="宋体"/>
                <w:color w:val="000000" w:themeColor="text1"/>
                <w:kern w:val="0"/>
                <w:sz w:val="30"/>
                <w:szCs w:val="30"/>
                <w14:textFill>
                  <w14:solidFill>
                    <w14:schemeClr w14:val="tx1"/>
                  </w14:solidFill>
                </w14:textFill>
              </w:rPr>
              <w:t>（签字）</w:t>
            </w:r>
          </w:p>
          <w:p>
            <w:pPr>
              <w:widowControl/>
              <w:spacing w:before="156" w:after="156"/>
              <w:ind w:firstLine="4452" w:firstLineChars="1484"/>
              <w:jc w:val="left"/>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30"/>
                <w:szCs w:val="30"/>
                <w14:textFill>
                  <w14:solidFill>
                    <w14:schemeClr w14:val="tx1"/>
                  </w14:solidFill>
                </w14:textFill>
              </w:rPr>
              <w:t>年</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月</w:t>
            </w:r>
            <w:r>
              <w:rPr>
                <w:rFonts w:ascii="Times New Roman" w:hAnsi="Times New Roman"/>
                <w:color w:val="000000" w:themeColor="text1"/>
                <w:kern w:val="0"/>
                <w:sz w:val="30"/>
                <w:szCs w:val="30"/>
                <w14:textFill>
                  <w14:solidFill>
                    <w14:schemeClr w14:val="tx1"/>
                  </w14:solidFill>
                </w14:textFill>
              </w:rPr>
              <w:t xml:space="preserve">    </w:t>
            </w:r>
            <w:r>
              <w:rPr>
                <w:rFonts w:hint="eastAsia" w:ascii="Times New Roman" w:hAnsi="Times New Roman" w:cs="宋体"/>
                <w:color w:val="000000" w:themeColor="text1"/>
                <w:kern w:val="0"/>
                <w:sz w:val="30"/>
                <w:szCs w:val="30"/>
                <w14:textFill>
                  <w14:solidFill>
                    <w14:schemeClr w14:val="tx1"/>
                  </w14:solidFill>
                </w14:textFill>
              </w:rPr>
              <w:t>日</w:t>
            </w:r>
          </w:p>
        </w:tc>
      </w:tr>
    </w:tbl>
    <w:p>
      <w:pPr>
        <w:widowControl/>
        <w:spacing w:before="100" w:beforeAutospacing="1" w:after="100" w:afterAutospacing="1"/>
        <w:jc w:val="left"/>
        <w:rPr>
          <w:rFonts w:ascii="Times New Roman" w:hAnsi="Times New Roman" w:eastAsia="黑体"/>
          <w:b/>
          <w:color w:val="000000" w:themeColor="text1"/>
          <w:sz w:val="32"/>
          <w:szCs w:val="32"/>
          <w14:textFill>
            <w14:solidFill>
              <w14:schemeClr w14:val="tx1"/>
            </w14:solidFill>
          </w14:textFill>
        </w:rPr>
        <w:sectPr>
          <w:pgSz w:w="12240" w:h="15840"/>
          <w:pgMar w:top="1440" w:right="1800" w:bottom="1440" w:left="1800" w:header="720" w:footer="720" w:gutter="0"/>
          <w:cols w:space="720" w:num="1"/>
        </w:sectPr>
      </w:pPr>
    </w:p>
    <w:p>
      <w:pPr>
        <w:widowControl/>
        <w:spacing w:before="360" w:after="360" w:line="520" w:lineRule="exact"/>
        <w:jc w:val="center"/>
        <w:rPr>
          <w:rFonts w:ascii="宋体" w:cs="宋体"/>
          <w:color w:val="000000" w:themeColor="text1"/>
          <w:kern w:val="0"/>
          <w:sz w:val="24"/>
          <w:szCs w:val="24"/>
          <w14:textFill>
            <w14:solidFill>
              <w14:schemeClr w14:val="tx1"/>
            </w14:solidFill>
          </w14:textFill>
        </w:rPr>
      </w:pPr>
      <w:r>
        <w:rPr>
          <w:rFonts w:hint="eastAsia" w:ascii="黑体" w:hAnsi="宋体" w:eastAsia="黑体" w:cs="宋体"/>
          <w:color w:val="000000" w:themeColor="text1"/>
          <w:kern w:val="0"/>
          <w:sz w:val="36"/>
          <w:szCs w:val="36"/>
          <w14:textFill>
            <w14:solidFill>
              <w14:schemeClr w14:val="tx1"/>
            </w14:solidFill>
          </w14:textFill>
        </w:rPr>
        <w:t>主</w:t>
      </w:r>
      <w:r>
        <w:rPr>
          <w:rFonts w:ascii="黑体" w:hAnsi="宋体" w:eastAsia="黑体" w:cs="宋体"/>
          <w:color w:val="000000" w:themeColor="text1"/>
          <w:kern w:val="0"/>
          <w:sz w:val="36"/>
          <w:szCs w:val="36"/>
          <w14:textFill>
            <w14:solidFill>
              <w14:schemeClr w14:val="tx1"/>
            </w14:solidFill>
          </w14:textFill>
        </w:rPr>
        <w:t xml:space="preserve"> </w:t>
      </w:r>
      <w:r>
        <w:rPr>
          <w:rFonts w:hint="eastAsia" w:ascii="黑体" w:hAnsi="宋体" w:eastAsia="黑体" w:cs="宋体"/>
          <w:color w:val="000000" w:themeColor="text1"/>
          <w:kern w:val="0"/>
          <w:sz w:val="36"/>
          <w:szCs w:val="36"/>
          <w14:textFill>
            <w14:solidFill>
              <w14:schemeClr w14:val="tx1"/>
            </w14:solidFill>
          </w14:textFill>
        </w:rPr>
        <w:t>要</w:t>
      </w:r>
      <w:r>
        <w:rPr>
          <w:rFonts w:ascii="黑体" w:hAnsi="宋体" w:eastAsia="黑体" w:cs="宋体"/>
          <w:color w:val="000000" w:themeColor="text1"/>
          <w:kern w:val="0"/>
          <w:sz w:val="36"/>
          <w:szCs w:val="36"/>
          <w14:textFill>
            <w14:solidFill>
              <w14:schemeClr w14:val="tx1"/>
            </w14:solidFill>
          </w14:textFill>
        </w:rPr>
        <w:t xml:space="preserve"> </w:t>
      </w:r>
      <w:r>
        <w:rPr>
          <w:rFonts w:hint="eastAsia" w:ascii="黑体" w:hAnsi="宋体" w:eastAsia="黑体" w:cs="宋体"/>
          <w:color w:val="000000" w:themeColor="text1"/>
          <w:kern w:val="0"/>
          <w:sz w:val="36"/>
          <w:szCs w:val="36"/>
          <w14:textFill>
            <w14:solidFill>
              <w14:schemeClr w14:val="tx1"/>
            </w14:solidFill>
          </w14:textFill>
        </w:rPr>
        <w:t>指</w:t>
      </w:r>
      <w:r>
        <w:rPr>
          <w:rFonts w:ascii="黑体" w:hAnsi="宋体" w:eastAsia="黑体" w:cs="宋体"/>
          <w:color w:val="000000" w:themeColor="text1"/>
          <w:kern w:val="0"/>
          <w:sz w:val="36"/>
          <w:szCs w:val="36"/>
          <w14:textFill>
            <w14:solidFill>
              <w14:schemeClr w14:val="tx1"/>
            </w14:solidFill>
          </w14:textFill>
        </w:rPr>
        <w:t xml:space="preserve"> </w:t>
      </w:r>
      <w:r>
        <w:rPr>
          <w:rFonts w:hint="eastAsia" w:ascii="黑体" w:hAnsi="宋体" w:eastAsia="黑体" w:cs="宋体"/>
          <w:color w:val="000000" w:themeColor="text1"/>
          <w:kern w:val="0"/>
          <w:sz w:val="36"/>
          <w:szCs w:val="36"/>
          <w14:textFill>
            <w14:solidFill>
              <w14:schemeClr w14:val="tx1"/>
            </w14:solidFill>
          </w14:textFill>
        </w:rPr>
        <w:t>标</w:t>
      </w:r>
      <w:r>
        <w:rPr>
          <w:rFonts w:ascii="黑体" w:hAnsi="宋体" w:eastAsia="黑体" w:cs="宋体"/>
          <w:color w:val="000000" w:themeColor="text1"/>
          <w:kern w:val="0"/>
          <w:sz w:val="36"/>
          <w:szCs w:val="36"/>
          <w14:textFill>
            <w14:solidFill>
              <w14:schemeClr w14:val="tx1"/>
            </w14:solidFill>
          </w14:textFill>
        </w:rPr>
        <w:t xml:space="preserve"> </w:t>
      </w:r>
      <w:r>
        <w:rPr>
          <w:rFonts w:hint="eastAsia" w:ascii="黑体" w:hAnsi="宋体" w:eastAsia="黑体" w:cs="宋体"/>
          <w:color w:val="000000" w:themeColor="text1"/>
          <w:kern w:val="0"/>
          <w:sz w:val="36"/>
          <w:szCs w:val="36"/>
          <w14:textFill>
            <w14:solidFill>
              <w14:schemeClr w14:val="tx1"/>
            </w14:solidFill>
          </w14:textFill>
        </w:rPr>
        <w:t>解</w:t>
      </w:r>
      <w:r>
        <w:rPr>
          <w:rFonts w:ascii="黑体" w:hAnsi="宋体" w:eastAsia="黑体" w:cs="宋体"/>
          <w:color w:val="000000" w:themeColor="text1"/>
          <w:kern w:val="0"/>
          <w:sz w:val="36"/>
          <w:szCs w:val="36"/>
          <w14:textFill>
            <w14:solidFill>
              <w14:schemeClr w14:val="tx1"/>
            </w14:solidFill>
          </w14:textFill>
        </w:rPr>
        <w:t xml:space="preserve"> </w:t>
      </w:r>
      <w:r>
        <w:rPr>
          <w:rFonts w:hint="eastAsia" w:ascii="黑体" w:hAnsi="宋体" w:eastAsia="黑体" w:cs="宋体"/>
          <w:color w:val="000000" w:themeColor="text1"/>
          <w:kern w:val="0"/>
          <w:sz w:val="36"/>
          <w:szCs w:val="36"/>
          <w14:textFill>
            <w14:solidFill>
              <w14:schemeClr w14:val="tx1"/>
            </w14:solidFill>
          </w14:textFill>
        </w:rPr>
        <w:t>释</w:t>
      </w:r>
    </w:p>
    <w:p>
      <w:pPr>
        <w:widowControl/>
        <w:tabs>
          <w:tab w:val="left" w:pos="1134"/>
        </w:tabs>
        <w:spacing w:line="700" w:lineRule="exact"/>
        <w:ind w:left="-4" w:leftChars="-2" w:firstLine="706" w:firstLineChars="251"/>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技术创新程度</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Times New Roman" w:hAnsi="宋体" w:eastAsia="仿宋_GB2312" w:cs="宋体"/>
          <w:color w:val="000000" w:themeColor="text1"/>
          <w:kern w:val="0"/>
          <w:sz w:val="28"/>
          <w:szCs w:val="28"/>
          <w14:textFill>
            <w14:solidFill>
              <w14:schemeClr w14:val="tx1"/>
            </w14:solidFill>
          </w14:textFill>
        </w:rPr>
        <w:t>指项目在技术开发中解决关键技术难题并取得技术突破，掌握核心技术并进行集成创新的程度，自主创新技术在总体技术中的比重。</w:t>
      </w:r>
    </w:p>
    <w:p>
      <w:pPr>
        <w:widowControl/>
        <w:tabs>
          <w:tab w:val="left" w:pos="1134"/>
        </w:tabs>
        <w:spacing w:line="700" w:lineRule="exact"/>
        <w:ind w:left="-4" w:leftChars="-2" w:firstLine="706" w:firstLineChars="251"/>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提升行业整体水平程度</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Times New Roman" w:hAnsi="宋体" w:eastAsia="仿宋_GB2312" w:cs="宋体"/>
          <w:color w:val="000000" w:themeColor="text1"/>
          <w:kern w:val="0"/>
          <w:sz w:val="28"/>
          <w:szCs w:val="28"/>
          <w14:textFill>
            <w14:solidFill>
              <w14:schemeClr w14:val="tx1"/>
            </w14:solidFill>
          </w14:textFill>
        </w:rPr>
        <w:t>指项目技术水平提高的幅度，对实现高新技术产业化，解决行业、区域发展的重点、难点和关键问题，推动产业结构调整和优化升级，提高企业和相关行业竞争能力，实现行业技术跨越和技术进步的作用。</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销售增长率</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是指企业本年销售增长额与上年销售额之间的比率，反映销售的增减变动情况，是评价企业成长状况和发展能力的重要指标。其计算公式为：</w:t>
      </w:r>
      <w:r>
        <w:rPr>
          <w:color w:val="000000" w:themeColor="text1"/>
          <w:position w:val="-26"/>
          <w14:textFill>
            <w14:solidFill>
              <w14:schemeClr w14:val="tx1"/>
            </w14:solidFill>
          </w14:textFill>
        </w:rPr>
        <w:object>
          <v:shape id="_x0000_i1025" o:spt="75" type="#_x0000_t75" style="height:35.4pt;width:305.4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4.</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研发投入强度</w:t>
      </w:r>
    </w:p>
    <w:p>
      <w:pPr>
        <w:widowControl/>
        <w:spacing w:line="360" w:lineRule="auto"/>
        <w:jc w:val="left"/>
        <w:rPr>
          <w:rFonts w:ascii="宋体" w:cs="宋体"/>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spacing w:val="8"/>
          <w:kern w:val="0"/>
          <w:sz w:val="28"/>
          <w:szCs w:val="28"/>
          <w14:textFill>
            <w14:solidFill>
              <w14:schemeClr w14:val="tx1"/>
            </w14:solidFill>
          </w14:textFill>
        </w:rPr>
        <w:t>其中：</w:t>
      </w:r>
      <w:r>
        <w:rPr>
          <w:color w:val="000000" w:themeColor="text1"/>
          <w:position w:val="-26"/>
          <w14:textFill>
            <w14:solidFill>
              <w14:schemeClr w14:val="tx1"/>
            </w14:solidFill>
          </w14:textFill>
        </w:rPr>
        <w:object>
          <v:shape id="_x0000_i1026" o:spt="75" type="#_x0000_t75" style="height:36pt;width:221.4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pPr>
        <w:widowControl/>
        <w:spacing w:line="360" w:lineRule="auto"/>
        <w:ind w:firstLine="743" w:firstLineChars="250"/>
        <w:jc w:val="left"/>
        <w:rPr>
          <w:rFonts w:ascii="宋体" w:cs="宋体"/>
          <w:color w:val="000000" w:themeColor="text1"/>
          <w:kern w:val="0"/>
          <w:sz w:val="24"/>
          <w:szCs w:val="24"/>
          <w14:textFill>
            <w14:solidFill>
              <w14:schemeClr w14:val="tx1"/>
            </w14:solidFill>
          </w14:textFill>
        </w:rPr>
      </w:pPr>
      <w:r>
        <w:rPr>
          <w:rFonts w:hint="eastAsia" w:ascii="仿宋_GB2312" w:hAnsi="Arial" w:eastAsia="仿宋_GB2312" w:cs="Arial"/>
          <w:b/>
          <w:color w:val="000000" w:themeColor="text1"/>
          <w:spacing w:val="8"/>
          <w:kern w:val="0"/>
          <w:sz w:val="28"/>
          <w:szCs w:val="28"/>
          <w14:textFill>
            <w14:solidFill>
              <w14:schemeClr w14:val="tx1"/>
            </w14:solidFill>
          </w14:textFill>
        </w:rPr>
        <w:t>企业研发经费包括：</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(1)</w:t>
      </w:r>
      <w:r>
        <w:rPr>
          <w:rFonts w:hint="eastAsia" w:ascii="Times New Roman" w:hAnsi="宋体" w:eastAsia="仿宋_GB2312" w:cs="宋体"/>
          <w:color w:val="000000" w:themeColor="text1"/>
          <w:spacing w:val="8"/>
          <w:kern w:val="0"/>
          <w:sz w:val="28"/>
          <w:szCs w:val="28"/>
          <w14:textFill>
            <w14:solidFill>
              <w14:schemeClr w14:val="tx1"/>
            </w14:solidFill>
          </w14:textFill>
        </w:rPr>
        <w:t>研发活动直接消耗的材料、燃料和动力费用。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(2)</w:t>
      </w:r>
      <w:r>
        <w:rPr>
          <w:rFonts w:hint="eastAsia" w:ascii="Times New Roman" w:hAnsi="宋体" w:eastAsia="仿宋_GB2312" w:cs="宋体"/>
          <w:color w:val="000000" w:themeColor="text1"/>
          <w:spacing w:val="8"/>
          <w:kern w:val="0"/>
          <w:sz w:val="28"/>
          <w:szCs w:val="28"/>
          <w14:textFill>
            <w14:solidFill>
              <w14:schemeClr w14:val="tx1"/>
            </w14:solidFill>
          </w14:textFill>
        </w:rPr>
        <w:t>企业在职研发人员的工资、奖金、津贴、补贴、社会保险费、住房公积金等人工费用以及外聘研发人员的劳务费用。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(3)</w:t>
      </w:r>
      <w:r>
        <w:rPr>
          <w:rFonts w:hint="eastAsia" w:ascii="Times New Roman" w:hAnsi="宋体" w:eastAsia="仿宋_GB2312" w:cs="宋体"/>
          <w:color w:val="000000" w:themeColor="text1"/>
          <w:spacing w:val="8"/>
          <w:kern w:val="0"/>
          <w:sz w:val="28"/>
          <w:szCs w:val="28"/>
          <w14:textFill>
            <w14:solidFill>
              <w14:schemeClr w14:val="tx1"/>
            </w14:solidFill>
          </w14:textFill>
        </w:rPr>
        <w:t>用于研发活动的仪器、设备、房屋等固定资产的折旧费或租赁费以及相关固定资产的运行维护、维修等费用。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(4)</w:t>
      </w:r>
      <w:r>
        <w:rPr>
          <w:rFonts w:hint="eastAsia" w:ascii="Times New Roman" w:hAnsi="宋体" w:eastAsia="仿宋_GB2312" w:cs="宋体"/>
          <w:color w:val="000000" w:themeColor="text1"/>
          <w:spacing w:val="8"/>
          <w:kern w:val="0"/>
          <w:sz w:val="28"/>
          <w:szCs w:val="28"/>
          <w14:textFill>
            <w14:solidFill>
              <w14:schemeClr w14:val="tx1"/>
            </w14:solidFill>
          </w14:textFill>
        </w:rPr>
        <w:t>用于研发活动的软件、专利权、非专利技术等无形资产的摊销费用。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(5)</w:t>
      </w:r>
      <w:r>
        <w:rPr>
          <w:rFonts w:hint="eastAsia" w:ascii="Times New Roman" w:hAnsi="宋体" w:eastAsia="仿宋_GB2312" w:cs="宋体"/>
          <w:color w:val="000000" w:themeColor="text1"/>
          <w:spacing w:val="8"/>
          <w:kern w:val="0"/>
          <w:sz w:val="28"/>
          <w:szCs w:val="28"/>
          <w14:textFill>
            <w14:solidFill>
              <w14:schemeClr w14:val="tx1"/>
            </w14:solidFill>
          </w14:textFill>
        </w:rPr>
        <w:t>用于中间试验和产品试制的模具、工艺装备开发及制造费</w:t>
      </w:r>
      <w:r>
        <w:rPr>
          <w:rFonts w:ascii="Times New Roman" w:hAnsi="Times New Roman" w:eastAsia="仿宋_GB2312"/>
          <w:color w:val="000000" w:themeColor="text1"/>
          <w:spacing w:val="8"/>
          <w:kern w:val="0"/>
          <w:sz w:val="28"/>
          <w:szCs w:val="28"/>
          <w14:textFill>
            <w14:solidFill>
              <w14:schemeClr w14:val="tx1"/>
            </w14:solidFill>
          </w14:textFill>
        </w:rPr>
        <w:t>,</w:t>
      </w:r>
      <w:r>
        <w:rPr>
          <w:rFonts w:hint="eastAsia" w:ascii="Times New Roman" w:hAnsi="宋体" w:eastAsia="仿宋_GB2312" w:cs="宋体"/>
          <w:color w:val="000000" w:themeColor="text1"/>
          <w:spacing w:val="8"/>
          <w:kern w:val="0"/>
          <w:sz w:val="28"/>
          <w:szCs w:val="28"/>
          <w14:textFill>
            <w14:solidFill>
              <w14:schemeClr w14:val="tx1"/>
            </w14:solidFill>
          </w14:textFill>
        </w:rPr>
        <w:t>设备调整及检验费</w:t>
      </w:r>
      <w:r>
        <w:rPr>
          <w:rFonts w:ascii="Times New Roman" w:hAnsi="Times New Roman" w:eastAsia="仿宋_GB2312"/>
          <w:color w:val="000000" w:themeColor="text1"/>
          <w:spacing w:val="8"/>
          <w:kern w:val="0"/>
          <w:sz w:val="28"/>
          <w:szCs w:val="28"/>
          <w14:textFill>
            <w14:solidFill>
              <w14:schemeClr w14:val="tx1"/>
            </w14:solidFill>
          </w14:textFill>
        </w:rPr>
        <w:t>,</w:t>
      </w:r>
      <w:r>
        <w:rPr>
          <w:rFonts w:hint="eastAsia" w:ascii="Times New Roman" w:hAnsi="宋体" w:eastAsia="仿宋_GB2312" w:cs="宋体"/>
          <w:color w:val="000000" w:themeColor="text1"/>
          <w:spacing w:val="8"/>
          <w:kern w:val="0"/>
          <w:sz w:val="28"/>
          <w:szCs w:val="28"/>
          <w14:textFill>
            <w14:solidFill>
              <w14:schemeClr w14:val="tx1"/>
            </w14:solidFill>
          </w14:textFill>
        </w:rPr>
        <w:t>样品、样机及一般测试手段购置费</w:t>
      </w:r>
      <w:r>
        <w:rPr>
          <w:rFonts w:ascii="Times New Roman" w:hAnsi="Times New Roman" w:eastAsia="仿宋_GB2312"/>
          <w:color w:val="000000" w:themeColor="text1"/>
          <w:spacing w:val="8"/>
          <w:kern w:val="0"/>
          <w:sz w:val="28"/>
          <w:szCs w:val="28"/>
          <w14:textFill>
            <w14:solidFill>
              <w14:schemeClr w14:val="tx1"/>
            </w14:solidFill>
          </w14:textFill>
        </w:rPr>
        <w:t>,</w:t>
      </w:r>
      <w:r>
        <w:rPr>
          <w:rFonts w:hint="eastAsia" w:ascii="Times New Roman" w:hAnsi="宋体" w:eastAsia="仿宋_GB2312" w:cs="宋体"/>
          <w:color w:val="000000" w:themeColor="text1"/>
          <w:spacing w:val="8"/>
          <w:kern w:val="0"/>
          <w:sz w:val="28"/>
          <w:szCs w:val="28"/>
          <w14:textFill>
            <w14:solidFill>
              <w14:schemeClr w14:val="tx1"/>
            </w14:solidFill>
          </w14:textFill>
        </w:rPr>
        <w:t>试制产品的检验费等。</w:t>
      </w:r>
    </w:p>
    <w:p>
      <w:pPr>
        <w:widowControl/>
        <w:spacing w:line="360" w:lineRule="auto"/>
        <w:ind w:firstLine="6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(6)</w:t>
      </w:r>
      <w:r>
        <w:rPr>
          <w:rFonts w:hint="eastAsia" w:ascii="Times New Roman" w:hAnsi="宋体" w:eastAsia="仿宋_GB2312" w:cs="宋体"/>
          <w:color w:val="000000" w:themeColor="text1"/>
          <w:spacing w:val="8"/>
          <w:kern w:val="0"/>
          <w:sz w:val="28"/>
          <w:szCs w:val="28"/>
          <w14:textFill>
            <w14:solidFill>
              <w14:schemeClr w14:val="tx1"/>
            </w14:solidFill>
          </w14:textFill>
        </w:rPr>
        <w:t>研发成果的论证、评审、验收、评估以及知识产权的申请费、注册费、代理费等费用。</w:t>
      </w:r>
    </w:p>
    <w:p>
      <w:pPr>
        <w:widowControl/>
        <w:spacing w:line="360" w:lineRule="auto"/>
        <w:ind w:firstLine="6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(7)</w:t>
      </w:r>
      <w:r>
        <w:rPr>
          <w:rFonts w:hint="eastAsia" w:ascii="Times New Roman" w:hAnsi="宋体" w:eastAsia="仿宋_GB2312" w:cs="宋体"/>
          <w:color w:val="000000" w:themeColor="text1"/>
          <w:spacing w:val="8"/>
          <w:kern w:val="0"/>
          <w:sz w:val="28"/>
          <w:szCs w:val="28"/>
          <w14:textFill>
            <w14:solidFill>
              <w14:schemeClr w14:val="tx1"/>
            </w14:solidFill>
          </w14:textFill>
        </w:rPr>
        <w:t>通过外包、合作研发等方式</w:t>
      </w:r>
      <w:r>
        <w:rPr>
          <w:rFonts w:ascii="Times New Roman" w:hAnsi="Times New Roman" w:eastAsia="仿宋_GB2312"/>
          <w:color w:val="000000" w:themeColor="text1"/>
          <w:spacing w:val="8"/>
          <w:kern w:val="0"/>
          <w:sz w:val="28"/>
          <w:szCs w:val="28"/>
          <w14:textFill>
            <w14:solidFill>
              <w14:schemeClr w14:val="tx1"/>
            </w14:solidFill>
          </w14:textFill>
        </w:rPr>
        <w:t>,</w:t>
      </w:r>
      <w:r>
        <w:rPr>
          <w:rFonts w:hint="eastAsia" w:ascii="Times New Roman" w:hAnsi="宋体" w:eastAsia="仿宋_GB2312" w:cs="宋体"/>
          <w:color w:val="000000" w:themeColor="text1"/>
          <w:spacing w:val="8"/>
          <w:kern w:val="0"/>
          <w:sz w:val="28"/>
          <w:szCs w:val="28"/>
          <w14:textFill>
            <w14:solidFill>
              <w14:schemeClr w14:val="tx1"/>
            </w14:solidFill>
          </w14:textFill>
        </w:rPr>
        <w:t>委托其他单位、个人或者与之</w:t>
      </w:r>
    </w:p>
    <w:p>
      <w:pPr>
        <w:widowControl/>
        <w:spacing w:line="360" w:lineRule="auto"/>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spacing w:val="8"/>
          <w:kern w:val="0"/>
          <w:sz w:val="28"/>
          <w:szCs w:val="28"/>
          <w14:textFill>
            <w14:solidFill>
              <w14:schemeClr w14:val="tx1"/>
            </w14:solidFill>
          </w14:textFill>
        </w:rPr>
        <w:t>合作进行研发而支付的费用。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ascii="Times New Roman" w:hAnsi="Times New Roman" w:eastAsia="仿宋_GB2312"/>
          <w:color w:val="000000" w:themeColor="text1"/>
          <w:spacing w:val="8"/>
          <w:kern w:val="0"/>
          <w:sz w:val="28"/>
          <w:szCs w:val="28"/>
          <w14:textFill>
            <w14:solidFill>
              <w14:schemeClr w14:val="tx1"/>
            </w14:solidFill>
          </w14:textFill>
        </w:rPr>
        <w:t>(8)</w:t>
      </w:r>
      <w:r>
        <w:rPr>
          <w:rFonts w:hint="eastAsia" w:ascii="Times New Roman" w:hAnsi="宋体" w:eastAsia="仿宋_GB2312" w:cs="宋体"/>
          <w:color w:val="000000" w:themeColor="text1"/>
          <w:spacing w:val="8"/>
          <w:kern w:val="0"/>
          <w:sz w:val="28"/>
          <w:szCs w:val="28"/>
          <w14:textFill>
            <w14:solidFill>
              <w14:schemeClr w14:val="tx1"/>
            </w14:solidFill>
          </w14:textFill>
        </w:rPr>
        <w:t>与研发活动直接相关的其他费用，包括技术图书资料费、资料翻译费、会议费、差旅费、办公费、外事费、研发人员培训费、培养费、专家咨询费、高新科技研发保险费用等。</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5.</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主营业务收入</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指会计“利润表”中对应指标的本年累计数。未执行</w:t>
      </w:r>
      <w:r>
        <w:rPr>
          <w:rFonts w:ascii="Times New Roman" w:hAnsi="Times New Roman" w:eastAsia="仿宋_GB2312"/>
          <w:color w:val="000000" w:themeColor="text1"/>
          <w:kern w:val="0"/>
          <w:sz w:val="28"/>
          <w:szCs w:val="28"/>
          <w14:textFill>
            <w14:solidFill>
              <w14:schemeClr w14:val="tx1"/>
            </w14:solidFill>
          </w14:textFill>
        </w:rPr>
        <w:t>2001</w:t>
      </w:r>
      <w:r>
        <w:rPr>
          <w:rFonts w:hint="eastAsia" w:ascii="仿宋_GB2312" w:hAnsi="宋体" w:eastAsia="仿宋_GB2312" w:cs="汉仪书宋一简"/>
          <w:color w:val="000000" w:themeColor="text1"/>
          <w:kern w:val="0"/>
          <w:sz w:val="28"/>
          <w:szCs w:val="28"/>
          <w14:textFill>
            <w14:solidFill>
              <w14:schemeClr w14:val="tx1"/>
            </w14:solidFill>
          </w14:textFill>
        </w:rPr>
        <w:t>年《企业会计制度》的企业，用“产品销售收入”的本期累计数代替。</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6.</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研究与试验发展人员</w:t>
      </w:r>
      <w:r>
        <w:rPr>
          <w:rFonts w:ascii="仿宋_GB2312" w:hAnsi="宋体" w:eastAsia="仿宋_GB2312" w:cs="宋体"/>
          <w:b/>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指参与研究与试验发展项目研究、管理和辅助工作的人员，包括项目</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课题</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组人员，企业科技行政管理人员和直接为项目</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课题</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活动提供服务的辅助人员。反映投入从事拥有自主知识产权的研究开发活动的人力规模。</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7.</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职工</w:t>
      </w:r>
      <w:r>
        <w:rPr>
          <w:rFonts w:ascii="仿宋_GB2312" w:hAnsi="宋体" w:eastAsia="仿宋_GB2312" w:cs="宋体"/>
          <w:b/>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指在国有、城镇集体、联营、股份制、外商和港、澳、台投资、其他单位及其附属机构工作，并由其支付工资的各类人员。不包括下列人员：</w:t>
      </w:r>
      <w:r>
        <w:rPr>
          <w:rFonts w:ascii="Times New Roman" w:hAnsi="Times New Roman" w:eastAsia="仿宋_GB2312"/>
          <w:color w:val="000000" w:themeColor="text1"/>
          <w:kern w:val="0"/>
          <w:sz w:val="28"/>
          <w:szCs w:val="28"/>
          <w14:textFill>
            <w14:solidFill>
              <w14:schemeClr w14:val="tx1"/>
            </w14:solidFill>
          </w14:textFill>
        </w:rPr>
        <w:t xml:space="preserve"> (1)</w:t>
      </w:r>
      <w:r>
        <w:rPr>
          <w:rFonts w:hint="eastAsia" w:ascii="Times New Roman" w:hAnsi="宋体" w:eastAsia="仿宋_GB2312" w:cs="宋体"/>
          <w:color w:val="000000" w:themeColor="text1"/>
          <w:kern w:val="0"/>
          <w:sz w:val="28"/>
          <w:szCs w:val="28"/>
          <w14:textFill>
            <w14:solidFill>
              <w14:schemeClr w14:val="tx1"/>
            </w14:solidFill>
          </w14:textFill>
        </w:rPr>
        <w:t>城镇个体劳动者；</w:t>
      </w:r>
      <w:r>
        <w:rPr>
          <w:rFonts w:ascii="Times New Roman" w:hAnsi="Times New Roman" w:eastAsia="仿宋_GB2312"/>
          <w:color w:val="000000" w:themeColor="text1"/>
          <w:kern w:val="0"/>
          <w:sz w:val="28"/>
          <w:szCs w:val="28"/>
          <w14:textFill>
            <w14:solidFill>
              <w14:schemeClr w14:val="tx1"/>
            </w14:solidFill>
          </w14:textFill>
        </w:rPr>
        <w:t>(2)</w:t>
      </w:r>
      <w:r>
        <w:rPr>
          <w:rFonts w:hint="eastAsia" w:ascii="Times New Roman" w:hAnsi="宋体" w:eastAsia="仿宋_GB2312" w:cs="宋体"/>
          <w:color w:val="000000" w:themeColor="text1"/>
          <w:kern w:val="0"/>
          <w:sz w:val="28"/>
          <w:szCs w:val="28"/>
          <w14:textFill>
            <w14:solidFill>
              <w14:schemeClr w14:val="tx1"/>
            </w14:solidFill>
          </w14:textFill>
        </w:rPr>
        <w:t>离休、退休、退职人员；</w:t>
      </w:r>
      <w:r>
        <w:rPr>
          <w:rFonts w:ascii="Times New Roman" w:hAnsi="Times New Roman" w:eastAsia="仿宋_GB2312"/>
          <w:color w:val="000000" w:themeColor="text1"/>
          <w:kern w:val="0"/>
          <w:sz w:val="28"/>
          <w:szCs w:val="28"/>
          <w14:textFill>
            <w14:solidFill>
              <w14:schemeClr w14:val="tx1"/>
            </w14:solidFill>
          </w14:textFill>
        </w:rPr>
        <w:t>(3)</w:t>
      </w:r>
      <w:r>
        <w:rPr>
          <w:rFonts w:hint="eastAsia" w:ascii="Times New Roman" w:hAnsi="宋体" w:eastAsia="仿宋_GB2312" w:cs="宋体"/>
          <w:color w:val="000000" w:themeColor="text1"/>
          <w:kern w:val="0"/>
          <w:sz w:val="28"/>
          <w:szCs w:val="28"/>
          <w14:textFill>
            <w14:solidFill>
              <w14:schemeClr w14:val="tx1"/>
            </w14:solidFill>
          </w14:textFill>
        </w:rPr>
        <w:t>再就业的离、退休人员；</w:t>
      </w:r>
      <w:r>
        <w:rPr>
          <w:rFonts w:ascii="Times New Roman" w:hAnsi="Times New Roman" w:eastAsia="仿宋_GB2312"/>
          <w:color w:val="000000" w:themeColor="text1"/>
          <w:kern w:val="0"/>
          <w:sz w:val="28"/>
          <w:szCs w:val="28"/>
          <w14:textFill>
            <w14:solidFill>
              <w14:schemeClr w14:val="tx1"/>
            </w14:solidFill>
          </w14:textFill>
        </w:rPr>
        <w:t>(4)</w:t>
      </w:r>
      <w:r>
        <w:rPr>
          <w:rFonts w:hint="eastAsia" w:ascii="Times New Roman" w:hAnsi="宋体" w:eastAsia="仿宋_GB2312" w:cs="宋体"/>
          <w:color w:val="000000" w:themeColor="text1"/>
          <w:kern w:val="0"/>
          <w:sz w:val="28"/>
          <w:szCs w:val="28"/>
          <w14:textFill>
            <w14:solidFill>
              <w14:schemeClr w14:val="tx1"/>
            </w14:solidFill>
          </w14:textFill>
        </w:rPr>
        <w:t>民办教师；</w:t>
      </w:r>
      <w:r>
        <w:rPr>
          <w:rFonts w:ascii="Times New Roman" w:hAnsi="Times New Roman" w:eastAsia="仿宋_GB2312"/>
          <w:color w:val="000000" w:themeColor="text1"/>
          <w:kern w:val="0"/>
          <w:sz w:val="28"/>
          <w:szCs w:val="28"/>
          <w14:textFill>
            <w14:solidFill>
              <w14:schemeClr w14:val="tx1"/>
            </w14:solidFill>
          </w14:textFill>
        </w:rPr>
        <w:t>(5)</w:t>
      </w:r>
      <w:r>
        <w:rPr>
          <w:rFonts w:hint="eastAsia" w:ascii="Times New Roman" w:hAnsi="宋体" w:eastAsia="仿宋_GB2312" w:cs="宋体"/>
          <w:color w:val="000000" w:themeColor="text1"/>
          <w:kern w:val="0"/>
          <w:sz w:val="28"/>
          <w:szCs w:val="28"/>
          <w14:textFill>
            <w14:solidFill>
              <w14:schemeClr w14:val="tx1"/>
            </w14:solidFill>
          </w14:textFill>
        </w:rPr>
        <w:t>在城镇单位中工作的外方及港、澳、台人员；</w:t>
      </w:r>
      <w:r>
        <w:rPr>
          <w:rFonts w:ascii="Times New Roman" w:hAnsi="Times New Roman" w:eastAsia="仿宋_GB2312"/>
          <w:color w:val="000000" w:themeColor="text1"/>
          <w:kern w:val="0"/>
          <w:sz w:val="28"/>
          <w:szCs w:val="28"/>
          <w14:textFill>
            <w14:solidFill>
              <w14:schemeClr w14:val="tx1"/>
            </w14:solidFill>
          </w14:textFill>
        </w:rPr>
        <w:t>(6)</w:t>
      </w:r>
      <w:r>
        <w:rPr>
          <w:rFonts w:hint="eastAsia" w:ascii="Times New Roman" w:hAnsi="宋体" w:eastAsia="仿宋_GB2312" w:cs="宋体"/>
          <w:color w:val="000000" w:themeColor="text1"/>
          <w:kern w:val="0"/>
          <w:sz w:val="28"/>
          <w:szCs w:val="28"/>
          <w14:textFill>
            <w14:solidFill>
              <w14:schemeClr w14:val="tx1"/>
            </w14:solidFill>
          </w14:textFill>
        </w:rPr>
        <w:t>其他按有关规定不列入职工统计范围的人员。</w:t>
      </w:r>
    </w:p>
    <w:p>
      <w:pPr>
        <w:widowControl/>
        <w:tabs>
          <w:tab w:val="left" w:pos="1287"/>
        </w:tabs>
        <w:spacing w:line="360" w:lineRule="auto"/>
        <w:ind w:left="153" w:firstLine="567"/>
        <w:jc w:val="left"/>
        <w:rPr>
          <w:rFonts w:ascii="仿宋_GB2312" w:hAnsi="Arial" w:eastAsia="仿宋_GB2312" w:cs="Arial"/>
          <w:color w:val="000000" w:themeColor="text1"/>
          <w:spacing w:val="8"/>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8.</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工业增加值率</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指在一定时期内工业增加值占工业总产值的比重，反映降低中间消耗的经济效益。其计算公式为：</w:t>
      </w:r>
      <w:r>
        <w:rPr>
          <w:rFonts w:ascii="仿宋_GB2312" w:hAnsi="Arial" w:eastAsia="仿宋_GB2312" w:cs="Arial"/>
          <w:color w:val="000000" w:themeColor="text1"/>
          <w:spacing w:val="8"/>
          <w:kern w:val="0"/>
          <w:sz w:val="28"/>
          <w:szCs w:val="28"/>
          <w14:textFill>
            <w14:solidFill>
              <w14:schemeClr w14:val="tx1"/>
            </w14:solidFill>
          </w14:textFill>
        </w:rPr>
        <w:t xml:space="preserve"> </w:t>
      </w:r>
    </w:p>
    <w:p>
      <w:pPr>
        <w:widowControl/>
        <w:spacing w:line="360" w:lineRule="auto"/>
        <w:jc w:val="left"/>
        <w:rPr>
          <w:rFonts w:ascii="宋体" w:cs="宋体"/>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spacing w:val="8"/>
          <w:kern w:val="0"/>
          <w:sz w:val="28"/>
          <w:szCs w:val="28"/>
          <w14:textFill>
            <w14:solidFill>
              <w14:schemeClr w14:val="tx1"/>
            </w14:solidFill>
          </w14:textFill>
        </w:rPr>
        <w:t>工业增加值率</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工业增加值</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销售收入</w:t>
      </w:r>
      <w:r>
        <w:rPr>
          <w:rFonts w:ascii="仿宋_GB2312" w:hAnsi="Arial" w:eastAsia="仿宋_GB2312" w:cs="Arial"/>
          <w:color w:val="000000" w:themeColor="text1"/>
          <w:spacing w:val="8"/>
          <w:kern w:val="0"/>
          <w:sz w:val="28"/>
          <w:szCs w:val="28"/>
          <w14:textFill>
            <w14:solidFill>
              <w14:schemeClr w14:val="tx1"/>
            </w14:solidFill>
          </w14:textFill>
        </w:rPr>
        <w:object>
          <v:shape id="_x0000_i1027" o:spt="75" type="#_x0000_t75" style="height:17.4pt;width:324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spacing w:val="8"/>
          <w:kern w:val="0"/>
          <w:sz w:val="28"/>
          <w:szCs w:val="28"/>
          <w14:textFill>
            <w14:solidFill>
              <w14:schemeClr w14:val="tx1"/>
            </w14:solidFill>
          </w14:textFill>
        </w:rPr>
        <w:t>工业增加值率的大小直接反映企业降低中间消耗的经济效益，反映投入产出的效果。工业增加值率越高，企业的附加值越高、盈利水平越高，投入产出的效果越佳。增加值率是一个地区工业企业盈利能力和发展水平的综合体现，其增加值率高低直接决定着一个地区的发展水平和效益水平</w:t>
      </w:r>
    </w:p>
    <w:p>
      <w:pPr>
        <w:widowControl/>
        <w:tabs>
          <w:tab w:val="left" w:pos="1287"/>
        </w:tabs>
        <w:spacing w:line="360" w:lineRule="auto"/>
        <w:ind w:left="153" w:firstLine="567"/>
        <w:jc w:val="left"/>
        <w:rPr>
          <w:color w:val="000000" w:themeColor="text1"/>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9.</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汉仪书宋一简"/>
          <w:b/>
          <w:color w:val="000000" w:themeColor="text1"/>
          <w:kern w:val="0"/>
          <w:sz w:val="28"/>
          <w:szCs w:val="28"/>
          <w14:textFill>
            <w14:solidFill>
              <w14:schemeClr w14:val="tx1"/>
            </w14:solidFill>
          </w14:textFill>
        </w:rPr>
        <w:t>总资产贡献率</w:t>
      </w:r>
      <w:r>
        <w:rPr>
          <w:rFonts w:ascii="仿宋_GB2312" w:hAnsi="宋体" w:eastAsia="仿宋_GB2312" w:cs="汉仪书宋一简"/>
          <w:b/>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反映企业全部资产的获利能力，是企业经营业绩和管理水平的集中体现，是评价和考核企业盈利能力的核心指标。计算公式为：</w:t>
      </w:r>
    </w:p>
    <w:p>
      <w:pPr>
        <w:widowControl/>
        <w:tabs>
          <w:tab w:val="left" w:pos="1287"/>
        </w:tabs>
        <w:spacing w:line="360" w:lineRule="auto"/>
        <w:ind w:left="153"/>
        <w:jc w:val="left"/>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汉仪书宋一简"/>
          <w:color w:val="000000" w:themeColor="text1"/>
          <w:kern w:val="0"/>
          <w:sz w:val="28"/>
          <w:szCs w:val="28"/>
          <w14:textFill>
            <w14:solidFill>
              <w14:schemeClr w14:val="tx1"/>
            </w14:solidFill>
          </w14:textFill>
        </w:rPr>
        <w:t>总资产贡献率</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（利润总额</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税金总额</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利息支出）</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平均资产总额（</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w:t>
      </w:r>
      <w:r>
        <w:rPr>
          <w:rFonts w:ascii="宋体" w:cs="宋体"/>
          <w:color w:val="000000" w:themeColor="text1"/>
          <w:kern w:val="0"/>
          <w:sz w:val="24"/>
          <w:szCs w:val="24"/>
          <w14:textFill>
            <w14:solidFill>
              <w14:schemeClr w14:val="tx1"/>
            </w14:solidFill>
          </w14:textFill>
        </w:rPr>
        <w:t xml:space="preserve">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141" w:leftChars="67" w:firstLine="560" w:firstLineChars="200"/>
        <w:jc w:val="left"/>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汉仪书宋一简"/>
          <w:color w:val="000000" w:themeColor="text1"/>
          <w:kern w:val="0"/>
          <w:sz w:val="28"/>
          <w:szCs w:val="28"/>
          <w14:textFill>
            <w14:solidFill>
              <w14:schemeClr w14:val="tx1"/>
            </w14:solidFill>
          </w14:textFill>
        </w:rPr>
        <w:t>公式中：税金总额为产品销售税金及附加与应交增值税之和；平均资产总额为期初期末资产之和的算术平均值。</w:t>
      </w:r>
    </w:p>
    <w:p>
      <w:pPr>
        <w:widowControl/>
        <w:tabs>
          <w:tab w:val="left" w:pos="1287"/>
        </w:tabs>
        <w:spacing w:line="360" w:lineRule="auto"/>
        <w:ind w:left="153" w:firstLine="567"/>
        <w:jc w:val="left"/>
        <w:rPr>
          <w:rFonts w:ascii="仿宋_GB2312" w:hAnsi="宋体" w:eastAsia="仿宋_GB2312" w:cs="汉仪书宋一简"/>
          <w:color w:val="000000" w:themeColor="text1"/>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10.</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汉仪中黑简"/>
          <w:b/>
          <w:color w:val="000000" w:themeColor="text1"/>
          <w:kern w:val="0"/>
          <w:sz w:val="28"/>
          <w:szCs w:val="28"/>
          <w14:textFill>
            <w14:solidFill>
              <w14:schemeClr w14:val="tx1"/>
            </w14:solidFill>
          </w14:textFill>
        </w:rPr>
        <w:t>资产负债率</w:t>
      </w:r>
      <w:r>
        <w:rPr>
          <w:rFonts w:ascii="仿宋_GB2312" w:hAnsi="宋体" w:eastAsia="仿宋_GB2312" w:cs="汉仪中黑简"/>
          <w:b/>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该指标既反映企业经营风险的大小，也反映企业利用债权人提供的资金从事经营活动的能力。计算公式为：</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color w:val="000000" w:themeColor="text1"/>
          <w:position w:val="-26"/>
          <w14:textFill>
            <w14:solidFill>
              <w14:schemeClr w14:val="tx1"/>
            </w14:solidFill>
          </w14:textFill>
        </w:rPr>
        <w:object>
          <v:shape id="_x0000_i1028" o:spt="75" type="#_x0000_t75" style="height:33.6pt;width:264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560" w:firstLineChars="200"/>
        <w:jc w:val="left"/>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汉仪书宋一简"/>
          <w:color w:val="000000" w:themeColor="text1"/>
          <w:kern w:val="0"/>
          <w:sz w:val="28"/>
          <w:szCs w:val="28"/>
          <w14:textFill>
            <w14:solidFill>
              <w14:schemeClr w14:val="tx1"/>
            </w14:solidFill>
          </w14:textFill>
        </w:rPr>
        <w:t>公式中：资产与负债均为报告期期末数。</w:t>
      </w:r>
    </w:p>
    <w:p>
      <w:pPr>
        <w:widowControl/>
        <w:tabs>
          <w:tab w:val="left" w:pos="1287"/>
        </w:tabs>
        <w:spacing w:line="360" w:lineRule="auto"/>
        <w:ind w:left="153" w:firstLine="567"/>
        <w:jc w:val="left"/>
        <w:rPr>
          <w:rFonts w:ascii="仿宋_GB2312" w:hAnsi="宋体" w:eastAsia="仿宋_GB2312" w:cs="汉仪书宋一简"/>
          <w:color w:val="000000" w:themeColor="text1"/>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11.</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汉仪中黑简"/>
          <w:b/>
          <w:color w:val="000000" w:themeColor="text1"/>
          <w:kern w:val="0"/>
          <w:sz w:val="28"/>
          <w:szCs w:val="28"/>
          <w14:textFill>
            <w14:solidFill>
              <w14:schemeClr w14:val="tx1"/>
            </w14:solidFill>
          </w14:textFill>
        </w:rPr>
        <w:t>流动资产周转次数</w:t>
      </w:r>
      <w:r>
        <w:rPr>
          <w:rFonts w:ascii="仿宋_GB2312" w:hAnsi="宋体" w:eastAsia="仿宋_GB2312" w:cs="汉仪书宋一简"/>
          <w:b/>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指一定时期内流动资产完成的周转次数，反映投入工业企业流动资金的周转速度。计算公式为：</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color w:val="000000" w:themeColor="text1"/>
          <w:position w:val="-26"/>
          <w14:textFill>
            <w14:solidFill>
              <w14:schemeClr w14:val="tx1"/>
            </w14:solidFill>
          </w14:textFill>
        </w:rPr>
        <w:object>
          <v:shape id="_x0000_i1029" o:spt="75" type="#_x0000_t75" style="height:33.6pt;width:281.4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pPr>
        <w:widowControl/>
        <w:spacing w:line="360" w:lineRule="auto"/>
        <w:ind w:firstLine="470"/>
        <w:jc w:val="left"/>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汉仪书宋一简"/>
          <w:color w:val="000000" w:themeColor="text1"/>
          <w:kern w:val="0"/>
          <w:sz w:val="28"/>
          <w:szCs w:val="28"/>
          <w14:textFill>
            <w14:solidFill>
              <w14:schemeClr w14:val="tx1"/>
            </w14:solidFill>
          </w14:textFill>
        </w:rPr>
        <w:t>公式中：全部流动资产平均余额为期初和期末的流动资产之和的算术平均值。</w:t>
      </w:r>
    </w:p>
    <w:p>
      <w:pPr>
        <w:widowControl/>
        <w:tabs>
          <w:tab w:val="left" w:pos="1287"/>
        </w:tabs>
        <w:spacing w:line="360" w:lineRule="auto"/>
        <w:ind w:left="153" w:firstLine="567"/>
        <w:jc w:val="left"/>
        <w:rPr>
          <w:rFonts w:ascii="仿宋_GB2312" w:hAnsi="Arial" w:eastAsia="仿宋_GB2312" w:cs="Arial"/>
          <w:color w:val="000000" w:themeColor="text1"/>
          <w:spacing w:val="8"/>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12.</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工业成本费用利润率</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指在一定时期内实现的利润与成本费用之比，是反映工业生产成本及费用投入的经济效益指标，同时也是反映降低成本的经济效益的指标。计算公式为：</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color w:val="000000" w:themeColor="text1"/>
          <w:position w:val="-26"/>
          <w14:textFill>
            <w14:solidFill>
              <w14:schemeClr w14:val="tx1"/>
            </w14:solidFill>
          </w14:textFill>
        </w:rPr>
        <w:object>
          <v:shape id="_x0000_i1030" o:spt="75" type="#_x0000_t75" style="height:33.6pt;width:331.8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13.</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销售利润率</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指衡量企业</w:t>
      </w:r>
      <w:r>
        <w:fldChar w:fldCharType="begin"/>
      </w:r>
      <w:r>
        <w:instrText xml:space="preserve"> HYPERLINK "http://baike.baidu.com/view/634424.htm"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销售收入</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的收益水平的</w:t>
      </w:r>
      <w:r>
        <w:fldChar w:fldCharType="begin"/>
      </w:r>
      <w:r>
        <w:instrText xml:space="preserve"> HYPERLINK "http://baike.baidu.com/view/605645.htm"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指标</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。计算公式为：</w:t>
      </w:r>
      <w:r>
        <w:rPr>
          <w:rFonts w:ascii="仿宋_GB2312" w:hAnsi="Arial" w:eastAsia="仿宋_GB2312" w:cs="Arial"/>
          <w:color w:val="000000" w:themeColor="text1"/>
          <w:spacing w:val="8"/>
          <w:kern w:val="0"/>
          <w:position w:val="-26"/>
          <w:szCs w:val="21"/>
          <w14:textFill>
            <w14:solidFill>
              <w14:schemeClr w14:val="tx1"/>
            </w14:solidFill>
          </w14:textFill>
        </w:rPr>
        <w:object>
          <v:shape id="_x0000_i1031" o:spt="75" type="#_x0000_t75" style="height:36.6pt;width:240.6pt;" o:ole="t" fillcolor="#FF0000"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pPr>
        <w:widowControl/>
        <w:tabs>
          <w:tab w:val="left" w:pos="1287"/>
        </w:tabs>
        <w:spacing w:line="360" w:lineRule="auto"/>
        <w:ind w:left="153" w:firstLine="472"/>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14.</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kern w:val="0"/>
          <w:sz w:val="28"/>
          <w:szCs w:val="28"/>
          <w14:textFill>
            <w14:solidFill>
              <w14:schemeClr w14:val="tx1"/>
            </w14:solidFill>
          </w14:textFill>
        </w:rPr>
        <w:t>净资产收益率</w:t>
      </w:r>
      <w:r>
        <w:rPr>
          <w:rFonts w:hint="eastAsia" w:ascii="仿宋_GB2312" w:hAnsi="Arial" w:eastAsia="仿宋_GB2312" w:cs="Arial"/>
          <w:color w:val="000000" w:themeColor="text1"/>
          <w:kern w:val="0"/>
          <w:sz w:val="28"/>
          <w:szCs w:val="28"/>
          <w14:textFill>
            <w14:solidFill>
              <w14:schemeClr w14:val="tx1"/>
            </w14:solidFill>
          </w14:textFill>
        </w:rPr>
        <w:t>（又称</w:t>
      </w:r>
      <w:r>
        <w:fldChar w:fldCharType="begin"/>
      </w:r>
      <w:r>
        <w:instrText xml:space="preserve"> HYPERLINK "http://baike.baidu.com/view/1304215.htm" \t "_blank" </w:instrText>
      </w:r>
      <w:r>
        <w:fldChar w:fldCharType="separate"/>
      </w:r>
      <w:r>
        <w:rPr>
          <w:rFonts w:hint="eastAsia" w:ascii="仿宋_GB2312" w:hAnsi="Arial" w:eastAsia="仿宋_GB2312" w:cs="Arial"/>
          <w:color w:val="000000" w:themeColor="text1"/>
          <w:kern w:val="0"/>
          <w:sz w:val="28"/>
          <w14:textFill>
            <w14:solidFill>
              <w14:schemeClr w14:val="tx1"/>
            </w14:solidFill>
          </w14:textFill>
        </w:rPr>
        <w:t>股东权益收益率</w:t>
      </w:r>
      <w:r>
        <w:rPr>
          <w:rFonts w:hint="eastAsia" w:ascii="仿宋_GB2312" w:hAnsi="Arial" w:eastAsia="仿宋_GB2312" w:cs="Arial"/>
          <w:color w:val="000000" w:themeColor="text1"/>
          <w:kern w:val="0"/>
          <w:sz w:val="28"/>
          <w14:textFill>
            <w14:solidFill>
              <w14:schemeClr w14:val="tx1"/>
            </w14:solidFill>
          </w14:textFill>
        </w:rPr>
        <w:fldChar w:fldCharType="end"/>
      </w:r>
      <w:r>
        <w:rPr>
          <w:rFonts w:hint="eastAsia" w:ascii="仿宋_GB2312" w:hAnsi="Arial" w:eastAsia="仿宋_GB2312" w:cs="Arial"/>
          <w:color w:val="000000" w:themeColor="text1"/>
          <w:kern w:val="0"/>
          <w:sz w:val="28"/>
          <w:szCs w:val="28"/>
          <w14:textFill>
            <w14:solidFill>
              <w14:schemeClr w14:val="tx1"/>
            </w14:solidFill>
          </w14:textFill>
        </w:rPr>
        <w:t>）</w:t>
      </w:r>
      <w:r>
        <w:rPr>
          <w:rFonts w:ascii="仿宋_GB2312" w:hAnsi="Arial" w:eastAsia="仿宋_GB2312" w:cs="Arial"/>
          <w:b/>
          <w:color w:val="000000" w:themeColor="text1"/>
          <w:kern w:val="0"/>
          <w:sz w:val="28"/>
          <w:szCs w:val="28"/>
          <w14:textFill>
            <w14:solidFill>
              <w14:schemeClr w14:val="tx1"/>
            </w14:solidFill>
          </w14:textFill>
        </w:rPr>
        <w:t xml:space="preserve">  </w:t>
      </w:r>
      <w:r>
        <w:rPr>
          <w:rFonts w:hint="eastAsia" w:ascii="仿宋_GB2312" w:hAnsi="Arial" w:eastAsia="仿宋_GB2312" w:cs="Arial"/>
          <w:color w:val="000000" w:themeColor="text1"/>
          <w:kern w:val="0"/>
          <w:sz w:val="28"/>
          <w:szCs w:val="28"/>
          <w14:textFill>
            <w14:solidFill>
              <w14:schemeClr w14:val="tx1"/>
            </w14:solidFill>
          </w14:textFill>
        </w:rPr>
        <w:t>是净利润与平均股东权益的百分比，是公司税后利润除以净资产得到的百分比率。</w:t>
      </w:r>
    </w:p>
    <w:p>
      <w:pPr>
        <w:widowControl/>
        <w:tabs>
          <w:tab w:val="left" w:pos="1287"/>
        </w:tabs>
        <w:spacing w:line="360" w:lineRule="auto"/>
        <w:ind w:left="153" w:firstLine="472"/>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15.</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汉仪中黑简"/>
          <w:b/>
          <w:color w:val="000000" w:themeColor="text1"/>
          <w:kern w:val="0"/>
          <w:sz w:val="28"/>
          <w:szCs w:val="28"/>
          <w14:textFill>
            <w14:solidFill>
              <w14:schemeClr w14:val="tx1"/>
            </w14:solidFill>
          </w14:textFill>
        </w:rPr>
        <w:t>主营业务税金及附加</w:t>
      </w:r>
      <w:r>
        <w:rPr>
          <w:rFonts w:ascii="仿宋_GB2312" w:hAnsi="宋体" w:eastAsia="仿宋_GB2312" w:cs="汉仪书宋一简"/>
          <w:b/>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指会计“利润表”中对应指标的本年累计数。未执行</w:t>
      </w:r>
      <w:r>
        <w:rPr>
          <w:rFonts w:ascii="Times New Roman" w:hAnsi="Times New Roman" w:eastAsia="仿宋_GB2312"/>
          <w:color w:val="000000" w:themeColor="text1"/>
          <w:kern w:val="0"/>
          <w:sz w:val="28"/>
          <w:szCs w:val="28"/>
          <w14:textFill>
            <w14:solidFill>
              <w14:schemeClr w14:val="tx1"/>
            </w14:solidFill>
          </w14:textFill>
        </w:rPr>
        <w:t>2001</w:t>
      </w:r>
      <w:r>
        <w:rPr>
          <w:rFonts w:hint="eastAsia" w:ascii="仿宋_GB2312" w:hAnsi="宋体" w:eastAsia="仿宋_GB2312" w:cs="汉仪书宋一简"/>
          <w:color w:val="000000" w:themeColor="text1"/>
          <w:kern w:val="0"/>
          <w:sz w:val="28"/>
          <w:szCs w:val="28"/>
          <w14:textFill>
            <w14:solidFill>
              <w14:schemeClr w14:val="tx1"/>
            </w14:solidFill>
          </w14:textFill>
        </w:rPr>
        <w:t>年《企业会计制度》的企业，用“产品销售税金及附加”的本期累计数代替。</w:t>
      </w:r>
    </w:p>
    <w:p>
      <w:pPr>
        <w:widowControl/>
        <w:tabs>
          <w:tab w:val="left" w:pos="1287"/>
        </w:tabs>
        <w:spacing w:line="360" w:lineRule="auto"/>
        <w:ind w:left="153" w:firstLine="472"/>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16.</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汉仪中黑简"/>
          <w:b/>
          <w:color w:val="000000" w:themeColor="text1"/>
          <w:kern w:val="0"/>
          <w:sz w:val="28"/>
          <w:szCs w:val="28"/>
          <w14:textFill>
            <w14:solidFill>
              <w14:schemeClr w14:val="tx1"/>
            </w14:solidFill>
          </w14:textFill>
        </w:rPr>
        <w:t>利润总额</w:t>
      </w:r>
      <w:r>
        <w:rPr>
          <w:rFonts w:ascii="仿宋_GB2312" w:hAnsi="宋体" w:eastAsia="仿宋_GB2312" w:cs="汉仪书宋一简"/>
          <w:b/>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指企业生产经营活动的最终成果，是企业在一定时期内实现的盈亏相抵后的利润总额（亏损以“</w:t>
      </w:r>
      <w:r>
        <w:rPr>
          <w:rFonts w:ascii="仿宋_GB2312" w:hAnsi="宋体" w:eastAsia="仿宋_GB2312" w:cs="汉仪书宋一简"/>
          <w:color w:val="000000" w:themeColor="text1"/>
          <w:kern w:val="0"/>
          <w:sz w:val="28"/>
          <w:szCs w:val="28"/>
          <w14:textFill>
            <w14:solidFill>
              <w14:schemeClr w14:val="tx1"/>
            </w14:solidFill>
          </w14:textFill>
        </w:rPr>
        <w:t>-</w:t>
      </w:r>
      <w:r>
        <w:rPr>
          <w:rFonts w:hint="eastAsia" w:ascii="仿宋_GB2312" w:hAnsi="宋体" w:eastAsia="仿宋_GB2312" w:cs="汉仪书宋一简"/>
          <w:color w:val="000000" w:themeColor="text1"/>
          <w:kern w:val="0"/>
          <w:sz w:val="28"/>
          <w:szCs w:val="28"/>
          <w14:textFill>
            <w14:solidFill>
              <w14:schemeClr w14:val="tx1"/>
            </w14:solidFill>
          </w14:textFill>
        </w:rPr>
        <w:t>”号表示），它等于营业利润加上补贴收入加上投资收益加上营业外净收入再加上以前年度损益调整。</w:t>
      </w:r>
    </w:p>
    <w:p>
      <w:pPr>
        <w:widowControl/>
        <w:tabs>
          <w:tab w:val="left" w:pos="1287"/>
        </w:tabs>
        <w:spacing w:line="360" w:lineRule="auto"/>
        <w:ind w:left="153" w:firstLine="567"/>
        <w:jc w:val="left"/>
        <w:rPr>
          <w:rFonts w:ascii="仿宋_GB2312" w:hAnsi="宋体" w:eastAsia="仿宋_GB2312" w:cs="宋体"/>
          <w:b/>
          <w:color w:val="000000" w:themeColor="text1"/>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17.</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产品出口创汇率</w:t>
      </w:r>
    </w:p>
    <w:p>
      <w:pPr>
        <w:widowControl/>
        <w:tabs>
          <w:tab w:val="left" w:pos="1287"/>
        </w:tabs>
        <w:spacing w:line="360" w:lineRule="auto"/>
        <w:ind w:left="153" w:firstLine="567"/>
        <w:jc w:val="left"/>
        <w:rPr>
          <w:rFonts w:ascii="仿宋_GB2312" w:hAnsi="宋体" w:eastAsia="仿宋_GB2312" w:cs="汉仪书宋一简"/>
          <w:color w:val="000000" w:themeColor="text1"/>
          <w:kern w:val="0"/>
          <w:sz w:val="28"/>
          <w:szCs w:val="28"/>
          <w14:textFill>
            <w14:solidFill>
              <w14:schemeClr w14:val="tx1"/>
            </w14:solidFill>
          </w14:textFill>
        </w:rPr>
      </w:pPr>
      <w:r>
        <w:rPr>
          <w:rFonts w:ascii="仿宋_GB2312" w:eastAsia="仿宋_GB2312"/>
          <w:color w:val="000000" w:themeColor="text1"/>
          <w:position w:val="-26"/>
          <w:sz w:val="28"/>
          <w:szCs w:val="28"/>
          <w14:textFill>
            <w14:solidFill>
              <w14:schemeClr w14:val="tx1"/>
            </w14:solidFill>
          </w14:textFill>
        </w:rPr>
        <w:object>
          <v:shape id="_x0000_i1032" o:spt="75" type="#_x0000_t75" style="height:33.6pt;width:256.2pt;" o:ole="t" fillcolor="#FF6600"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1</w:t>
      </w:r>
      <w:r>
        <w:rPr>
          <w:rFonts w:hint="eastAsia" w:ascii="Times New Roman" w:hAnsi="Times New Roman"/>
          <w:b/>
          <w:color w:val="000000" w:themeColor="text1"/>
          <w:kern w:val="0"/>
          <w:sz w:val="28"/>
          <w:szCs w:val="28"/>
          <w14:textFill>
            <w14:solidFill>
              <w14:schemeClr w14:val="tx1"/>
            </w14:solidFill>
          </w14:textFill>
        </w:rPr>
        <w:t>8</w:t>
      </w:r>
      <w:r>
        <w:rPr>
          <w:rFonts w:ascii="Times New Roman" w:hAnsi="Times New Roman"/>
          <w:b/>
          <w:color w:val="000000" w:themeColor="text1"/>
          <w:kern w:val="0"/>
          <w:sz w:val="28"/>
          <w:szCs w:val="28"/>
          <w14:textFill>
            <w14:solidFill>
              <w14:schemeClr w14:val="tx1"/>
            </w14:solidFill>
          </w14:textFill>
        </w:rPr>
        <w:t>.</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原材料利用率</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指生产企业加工成品中包含原材料数量占加工该成品所消耗原材料的总耗量的比重指标，通常用百分表示，这个指标数值越大说明对原料的利用率越高。</w:t>
      </w:r>
    </w:p>
    <w:p>
      <w:pPr>
        <w:widowControl/>
        <w:tabs>
          <w:tab w:val="left" w:pos="1287"/>
        </w:tabs>
        <w:spacing w:line="360" w:lineRule="auto"/>
        <w:ind w:left="153" w:firstLine="595"/>
        <w:jc w:val="left"/>
        <w:rPr>
          <w:rFonts w:ascii="仿宋_GB2312" w:hAnsi="Arial" w:eastAsia="仿宋_GB2312" w:cs="Arial"/>
          <w:color w:val="000000" w:themeColor="text1"/>
          <w:spacing w:val="8"/>
          <w:kern w:val="0"/>
          <w:sz w:val="28"/>
          <w:szCs w:val="28"/>
          <w14:textFill>
            <w14:solidFill>
              <w14:schemeClr w14:val="tx1"/>
            </w14:solidFill>
          </w14:textFill>
        </w:rPr>
      </w:pPr>
      <w:r>
        <w:rPr>
          <w:rFonts w:hint="eastAsia" w:ascii="Times New Roman" w:hAnsi="Times New Roman"/>
          <w:b/>
          <w:color w:val="000000" w:themeColor="text1"/>
          <w:kern w:val="0"/>
          <w:sz w:val="28"/>
          <w:szCs w:val="28"/>
          <w14:textFill>
            <w14:solidFill>
              <w14:schemeClr w14:val="tx1"/>
            </w14:solidFill>
          </w14:textFill>
        </w:rPr>
        <w:t>19</w:t>
      </w:r>
      <w:r>
        <w:rPr>
          <w:rFonts w:ascii="Times New Roman" w:hAnsi="Times New Roman"/>
          <w:b/>
          <w:color w:val="000000" w:themeColor="text1"/>
          <w:kern w:val="0"/>
          <w:sz w:val="28"/>
          <w:szCs w:val="28"/>
          <w14:textFill>
            <w14:solidFill>
              <w14:schemeClr w14:val="tx1"/>
            </w14:solidFill>
          </w14:textFill>
        </w:rPr>
        <w:t>.</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再生资源</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就是在人类的生产、生活、科教、交通、国防等各项活动中被开发利用一次并报废后，还可反复回收加工再利用的物质资源。它包括以矿物为原料生产并报废的钢铁、有色金属、稀有金属、合金、无机非金属、塑料、橡胶、纤维、纸张等都称为再生资源。</w:t>
      </w:r>
    </w:p>
    <w:p>
      <w:pPr>
        <w:widowControl/>
        <w:tabs>
          <w:tab w:val="left" w:pos="1287"/>
        </w:tabs>
        <w:spacing w:line="360" w:lineRule="auto"/>
        <w:ind w:left="153" w:firstLine="595"/>
        <w:jc w:val="left"/>
        <w:rPr>
          <w:rFonts w:ascii="仿宋_GB2312" w:hAnsi="宋体" w:eastAsia="仿宋_GB2312" w:cs="宋体"/>
          <w:color w:val="000000" w:themeColor="text1"/>
          <w:kern w:val="0"/>
          <w:sz w:val="30"/>
          <w:szCs w:val="30"/>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w:t>
      </w:r>
      <w:r>
        <w:rPr>
          <w:rFonts w:hint="eastAsia" w:ascii="Times New Roman" w:hAnsi="Times New Roman"/>
          <w:b/>
          <w:color w:val="000000" w:themeColor="text1"/>
          <w:kern w:val="0"/>
          <w:sz w:val="28"/>
          <w:szCs w:val="28"/>
          <w14:textFill>
            <w14:solidFill>
              <w14:schemeClr w14:val="tx1"/>
            </w14:solidFill>
          </w14:textFill>
        </w:rPr>
        <w:t>0</w:t>
      </w:r>
      <w:r>
        <w:rPr>
          <w:rFonts w:ascii="Times New Roman" w:hAnsi="Times New Roman"/>
          <w:b/>
          <w:color w:val="000000" w:themeColor="text1"/>
          <w:kern w:val="0"/>
          <w:sz w:val="28"/>
          <w:szCs w:val="28"/>
          <w14:textFill>
            <w14:solidFill>
              <w14:schemeClr w14:val="tx1"/>
            </w14:solidFill>
          </w14:textFill>
        </w:rPr>
        <w:t>.</w:t>
      </w:r>
      <w:r>
        <w:rPr>
          <w:rFonts w:ascii="Times New Roman" w:hAnsi="Times New Roman"/>
          <w:b/>
          <w:color w:val="000000" w:themeColor="text1"/>
          <w:kern w:val="0"/>
          <w:sz w:val="14"/>
          <w:szCs w:val="14"/>
          <w14:textFill>
            <w14:solidFill>
              <w14:schemeClr w14:val="tx1"/>
            </w14:solidFill>
          </w14:textFill>
        </w:rPr>
        <w:t>     </w:t>
      </w:r>
      <w:r>
        <w:rPr>
          <w:rFonts w:hint="eastAsia" w:ascii="仿宋_GB2312" w:hAnsi="Arial" w:eastAsia="仿宋_GB2312" w:cs="Arial"/>
          <w:b/>
          <w:bCs/>
          <w:color w:val="000000" w:themeColor="text1"/>
          <w:spacing w:val="8"/>
          <w:kern w:val="0"/>
          <w:sz w:val="28"/>
          <w:szCs w:val="28"/>
          <w14:textFill>
            <w14:solidFill>
              <w14:schemeClr w14:val="tx1"/>
            </w14:solidFill>
          </w14:textFill>
        </w:rPr>
        <w:t>万元工业增加值能耗</w:t>
      </w:r>
    </w:p>
    <w:p>
      <w:pPr>
        <w:widowControl/>
        <w:tabs>
          <w:tab w:val="left" w:pos="1287"/>
        </w:tabs>
        <w:spacing w:line="360" w:lineRule="auto"/>
        <w:ind w:left="153" w:firstLine="595"/>
        <w:jc w:val="left"/>
        <w:rPr>
          <w:rFonts w:ascii="宋体" w:cs="宋体"/>
          <w:color w:val="000000" w:themeColor="text1"/>
          <w:kern w:val="0"/>
          <w:sz w:val="24"/>
          <w:szCs w:val="24"/>
          <w14:textFill>
            <w14:solidFill>
              <w14:schemeClr w14:val="tx1"/>
            </w14:solidFill>
          </w14:textFill>
        </w:rPr>
      </w:pPr>
      <w:r>
        <w:rPr>
          <w:rFonts w:ascii="仿宋_GB2312" w:hAnsi="Arial" w:eastAsia="仿宋_GB2312" w:cs="Arial"/>
          <w:color w:val="000000" w:themeColor="text1"/>
          <w:spacing w:val="8"/>
          <w:kern w:val="0"/>
          <w:sz w:val="28"/>
          <w:szCs w:val="28"/>
          <w14:textFill>
            <w14:solidFill>
              <w14:schemeClr w14:val="tx1"/>
            </w14:solidFill>
          </w14:textFill>
        </w:rPr>
        <w:t>万元工业增加值能耗=能源消耗总量(吨标准煤)/工业增加值(万元)。</w:t>
      </w:r>
    </w:p>
    <w:p>
      <w:pPr>
        <w:widowControl/>
        <w:tabs>
          <w:tab w:val="left" w:pos="1287"/>
        </w:tabs>
        <w:spacing w:line="360" w:lineRule="auto"/>
        <w:ind w:left="153" w:firstLine="595"/>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21.</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工业</w:t>
      </w:r>
      <w:r>
        <w:rPr>
          <w:rFonts w:ascii="Times New Roman" w:hAnsi="Times New Roman" w:eastAsia="仿宋_GB2312"/>
          <w:b/>
          <w:color w:val="000000" w:themeColor="text1"/>
          <w:kern w:val="0"/>
          <w:sz w:val="28"/>
          <w:szCs w:val="28"/>
          <w14:textFill>
            <w14:solidFill>
              <w14:schemeClr w14:val="tx1"/>
            </w14:solidFill>
          </w14:textFill>
        </w:rPr>
        <w:t>“</w:t>
      </w:r>
      <w:r>
        <w:rPr>
          <w:rFonts w:hint="eastAsia" w:ascii="Times New Roman" w:hAnsi="宋体" w:eastAsia="仿宋_GB2312" w:cs="宋体"/>
          <w:b/>
          <w:color w:val="000000" w:themeColor="text1"/>
          <w:kern w:val="0"/>
          <w:sz w:val="28"/>
          <w:szCs w:val="28"/>
          <w14:textFill>
            <w14:solidFill>
              <w14:schemeClr w14:val="tx1"/>
            </w14:solidFill>
          </w14:textFill>
        </w:rPr>
        <w:t>三废</w:t>
      </w:r>
      <w:r>
        <w:rPr>
          <w:rFonts w:ascii="Times New Roman" w:hAnsi="Times New Roman" w:eastAsia="仿宋_GB2312"/>
          <w:b/>
          <w:color w:val="000000" w:themeColor="text1"/>
          <w:kern w:val="0"/>
          <w:sz w:val="28"/>
          <w:szCs w:val="28"/>
          <w14:textFill>
            <w14:solidFill>
              <w14:schemeClr w14:val="tx1"/>
            </w14:solidFill>
          </w14:textFill>
        </w:rPr>
        <w:t>”</w:t>
      </w:r>
      <w:r>
        <w:rPr>
          <w:rFonts w:hint="eastAsia" w:ascii="Times New Roman" w:hAnsi="宋体" w:eastAsia="仿宋_GB2312" w:cs="宋体"/>
          <w:b/>
          <w:color w:val="000000" w:themeColor="text1"/>
          <w:kern w:val="0"/>
          <w:sz w:val="28"/>
          <w:szCs w:val="28"/>
          <w14:textFill>
            <w14:solidFill>
              <w14:schemeClr w14:val="tx1"/>
            </w14:solidFill>
          </w14:textFill>
        </w:rPr>
        <w:t>综合利用产品产值</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指报告期内利用“三废”作为主要原料生产的产品价值</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现行价</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；已经销售或准备销售的应计算产品价值，留作生产自用的不应计算产品价值。</w: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22.</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遵守环境保护法律法规</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着重描述企业污染物排放情况、总量控制指标完成情况、污染治理设施运行情况、在线监测仪器安装运行情况、建设项目各阶段环境保护审批程序符合情况。</w: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23.</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整体环境友好</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通过</w:t>
      </w:r>
      <w:r>
        <w:rPr>
          <w:rFonts w:ascii="Times New Roman" w:hAnsi="Times New Roman" w:eastAsia="仿宋_GB2312"/>
          <w:color w:val="000000" w:themeColor="text1"/>
          <w:spacing w:val="8"/>
          <w:kern w:val="0"/>
          <w:sz w:val="28"/>
          <w:szCs w:val="28"/>
          <w14:textFill>
            <w14:solidFill>
              <w14:schemeClr w14:val="tx1"/>
            </w14:solidFill>
          </w14:textFill>
        </w:rPr>
        <w:t>ISO14001</w:t>
      </w:r>
      <w:r>
        <w:rPr>
          <w:rFonts w:hint="eastAsia" w:ascii="仿宋_GB2312" w:hAnsi="Arial" w:eastAsia="仿宋_GB2312" w:cs="Arial"/>
          <w:color w:val="000000" w:themeColor="text1"/>
          <w:spacing w:val="8"/>
          <w:kern w:val="0"/>
          <w:sz w:val="28"/>
          <w:szCs w:val="28"/>
          <w14:textFill>
            <w14:solidFill>
              <w14:schemeClr w14:val="tx1"/>
            </w14:solidFill>
          </w14:textFill>
        </w:rPr>
        <w:t>环境管理体系认证情况。</w: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24.</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生产过程环境友好</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ascii="仿宋_GB2312" w:hAnsi="Arial" w:eastAsia="仿宋_GB2312" w:cs="Arial"/>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采用清洁生产工艺，采用低毒无害环境友好原材料。</w:t>
      </w:r>
    </w:p>
    <w:p>
      <w:pPr>
        <w:widowControl/>
        <w:tabs>
          <w:tab w:val="left" w:pos="1287"/>
        </w:tabs>
        <w:spacing w:line="360" w:lineRule="auto"/>
        <w:ind w:left="153" w:firstLine="562"/>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25.</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生产产品环境保护友好</w:t>
      </w:r>
      <w:r>
        <w:rPr>
          <w:rFonts w:ascii="Times New Roman" w:hAnsi="Times New Roman" w:eastAsia="仿宋_GB2312"/>
          <w:b/>
          <w:color w:val="000000" w:themeColor="text1"/>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低污染、相关环保认证（环境标志、有机、绿色等）。</w:t>
      </w:r>
    </w:p>
    <w:p>
      <w:pPr>
        <w:widowControl/>
        <w:tabs>
          <w:tab w:val="left" w:pos="1287"/>
        </w:tabs>
        <w:spacing w:line="360" w:lineRule="auto"/>
        <w:ind w:left="153" w:firstLine="560"/>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26.</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Times New Roman" w:hAnsi="宋体" w:eastAsia="仿宋_GB2312" w:cs="宋体"/>
          <w:b/>
          <w:color w:val="000000" w:themeColor="text1"/>
          <w:kern w:val="0"/>
          <w:sz w:val="28"/>
          <w:szCs w:val="28"/>
          <w14:textFill>
            <w14:solidFill>
              <w14:schemeClr w14:val="tx1"/>
            </w14:solidFill>
          </w14:textFill>
        </w:rPr>
        <w:t>环境污染</w:t>
      </w:r>
      <w:r>
        <w:rPr>
          <w:rFonts w:hint="eastAsia" w:ascii="仿宋_GB2312" w:hAnsi="宋体" w:eastAsia="仿宋_GB2312" w:cs="宋体"/>
          <w:b/>
          <w:color w:val="000000" w:themeColor="text1"/>
          <w:kern w:val="0"/>
          <w:sz w:val="28"/>
          <w:szCs w:val="28"/>
          <w14:textFill>
            <w14:solidFill>
              <w14:schemeClr w14:val="tx1"/>
            </w14:solidFill>
          </w14:textFill>
        </w:rPr>
        <w:t>与破坏事故</w:t>
      </w:r>
      <w:r>
        <w:rPr>
          <w:rFonts w:ascii="仿宋_GB2312" w:hAnsi="宋体" w:eastAsia="仿宋_GB2312" w:cs="汉仪书宋一简"/>
          <w:color w:val="000000" w:themeColor="text1"/>
          <w:kern w:val="0"/>
          <w:sz w:val="28"/>
          <w:szCs w:val="28"/>
          <w14:textFill>
            <w14:solidFill>
              <w14:schemeClr w14:val="tx1"/>
            </w14:solidFill>
          </w14:textFill>
        </w:rPr>
        <w:t xml:space="preserve">  </w:t>
      </w:r>
      <w:r>
        <w:rPr>
          <w:rFonts w:hint="eastAsia" w:ascii="仿宋_GB2312" w:hAnsi="宋体" w:eastAsia="仿宋_GB2312" w:cs="汉仪书宋一简"/>
          <w:color w:val="000000" w:themeColor="text1"/>
          <w:kern w:val="0"/>
          <w:sz w:val="28"/>
          <w:szCs w:val="28"/>
          <w14:textFill>
            <w14:solidFill>
              <w14:schemeClr w14:val="tx1"/>
            </w14:solidFill>
          </w14:textFill>
        </w:rPr>
        <w:t>指由于违反环境保护法规的经济、社会活动与行为，以及意外因素的影响或不可抗拒的自然灾害等原因，致使环境受到污染，国家重点保护的野生动植物、自然保护区受到破坏，人体健康受到危害，社会经济和人民财产受到损失，造成不良社会影响的突发性事件。</w:t>
      </w:r>
    </w:p>
    <w:p>
      <w:pPr>
        <w:widowControl/>
        <w:tabs>
          <w:tab w:val="left" w:pos="1287"/>
        </w:tabs>
        <w:spacing w:line="360" w:lineRule="auto"/>
        <w:ind w:left="153" w:firstLine="561"/>
        <w:jc w:val="left"/>
        <w:rPr>
          <w:rFonts w:ascii="仿宋_GB2312" w:hAnsi="Arial" w:eastAsia="仿宋_GB2312" w:cs="Arial"/>
          <w:color w:val="000000" w:themeColor="text1"/>
          <w:spacing w:val="8"/>
          <w:kern w:val="0"/>
          <w:sz w:val="28"/>
          <w:szCs w:val="28"/>
          <w14:textFill>
            <w14:solidFill>
              <w14:schemeClr w14:val="tx1"/>
            </w14:solidFill>
          </w14:textFill>
        </w:rPr>
      </w:pPr>
      <w:r>
        <w:rPr>
          <w:rFonts w:ascii="Times New Roman" w:hAnsi="Times New Roman"/>
          <w:b/>
          <w:color w:val="000000" w:themeColor="text1"/>
          <w:spacing w:val="8"/>
          <w:kern w:val="0"/>
          <w:sz w:val="28"/>
          <w:szCs w:val="28"/>
          <w14:textFill>
            <w14:solidFill>
              <w14:schemeClr w14:val="tx1"/>
            </w14:solidFill>
          </w14:textFill>
        </w:rPr>
        <w:t>27.</w:t>
      </w:r>
      <w:r>
        <w:rPr>
          <w:rFonts w:ascii="Times New Roman" w:hAnsi="Times New Roman"/>
          <w:b/>
          <w:color w:val="000000" w:themeColor="text1"/>
          <w:spacing w:val="8"/>
          <w:kern w:val="0"/>
          <w:sz w:val="14"/>
          <w:szCs w:val="14"/>
          <w14:textFill>
            <w14:solidFill>
              <w14:schemeClr w14:val="tx1"/>
            </w14:solidFill>
          </w14:textFill>
        </w:rPr>
        <w:t xml:space="preserve">    </w:t>
      </w:r>
      <w:r>
        <w:rPr>
          <w:rFonts w:hint="eastAsia" w:ascii="仿宋_GB2312" w:hAnsi="宋体" w:eastAsia="仿宋_GB2312" w:cs="宋体"/>
          <w:b/>
          <w:color w:val="000000" w:themeColor="text1"/>
          <w:kern w:val="0"/>
          <w:sz w:val="28"/>
          <w:szCs w:val="28"/>
          <w14:textFill>
            <w14:solidFill>
              <w14:schemeClr w14:val="tx1"/>
            </w14:solidFill>
          </w14:textFill>
        </w:rPr>
        <w:t>国内市场占有率　</w:t>
      </w:r>
      <w:r>
        <w:rPr>
          <w:rFonts w:hint="eastAsia" w:ascii="仿宋_GB2312" w:hAnsi="Arial" w:eastAsia="仿宋_GB2312" w:cs="Arial"/>
          <w:color w:val="000000" w:themeColor="text1"/>
          <w:spacing w:val="8"/>
          <w:kern w:val="0"/>
          <w:sz w:val="28"/>
          <w:szCs w:val="28"/>
          <w14:textFill>
            <w14:solidFill>
              <w14:schemeClr w14:val="tx1"/>
            </w14:solidFill>
          </w14:textFill>
        </w:rPr>
        <w:t>指一定时期内企业的产品销售量在国内整个行业中所占的比重。</w:t>
      </w:r>
    </w:p>
    <w:p>
      <w:pPr>
        <w:widowControl/>
        <w:tabs>
          <w:tab w:val="left" w:pos="1287"/>
        </w:tabs>
        <w:spacing w:line="360" w:lineRule="auto"/>
        <w:ind w:left="153" w:firstLine="561"/>
        <w:jc w:val="left"/>
        <w:rPr>
          <w:rFonts w:ascii="宋体" w:cs="宋体"/>
          <w:color w:val="000000" w:themeColor="text1"/>
          <w:kern w:val="0"/>
          <w:sz w:val="24"/>
          <w:szCs w:val="24"/>
          <w14:textFill>
            <w14:solidFill>
              <w14:schemeClr w14:val="tx1"/>
            </w14:solidFill>
          </w14:textFill>
        </w:rPr>
      </w:pPr>
      <w:r>
        <w:rPr>
          <w:rFonts w:ascii="仿宋_GB2312" w:hAnsi="Arial" w:eastAsia="仿宋_GB2312" w:cs="Arial"/>
          <w:color w:val="000000" w:themeColor="text1"/>
          <w:spacing w:val="8"/>
          <w:position w:val="-26"/>
          <w:sz w:val="28"/>
          <w:szCs w:val="28"/>
          <w14:textFill>
            <w14:solidFill>
              <w14:schemeClr w14:val="tx1"/>
            </w14:solidFill>
          </w14:textFill>
        </w:rPr>
        <w:object>
          <v:shape id="_x0000_i1033" o:spt="75" type="#_x0000_t75" style="height:33.6pt;width:281.4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widowControl/>
        <w:tabs>
          <w:tab w:val="left" w:pos="1287"/>
        </w:tabs>
        <w:spacing w:line="360" w:lineRule="auto"/>
        <w:ind w:left="153" w:firstLine="561"/>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28.</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质量保证和服务体系</w:t>
      </w:r>
      <w:r>
        <w:rPr>
          <w:rFonts w:ascii="仿宋_GB2312" w:hAnsi="Arial" w:eastAsia="仿宋_GB2312" w:cs="Arial"/>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主要描述企业如何保证产品和服务的安全性、改善产品性能、完善服务体系、努力为社会提供优质安全健康的产品和服务、最大限度地满足消费者的需求，保护消费者权益，妥善处理消费者提出的投诉和建议，努力为消费者创造更大的价值，取得广大消费者的信赖与认同。</w: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29.</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安全生产管理体系建设</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生产经营单位认真贯彻落实国家有关安全生产的法律法规和标准技术规范，学习借鉴国际知名企业安全管理先进理念、管理方法和管理体系，建立涵盖企业生产经营全方位的，包括经营理念、工作指导思想、标准技术文件、实施程序等一整套安全管理文件、目标计划、实施、考核、持续改进的全过程控制的安全管理科学体系。体系建设可以包括各种行之有效的安全管理理念、方法、手段和工具，指标填写应包含以下要素：先进的安全管理理念；明确的安全管理目标；健全的安全管理组织体系；完善的安全管理制度（文件）；有效的安全管理工作措施；有针对性的全员安全培训教育；严谨的安全生产绩效考核。</w:t>
      </w:r>
    </w:p>
    <w:p>
      <w:pPr>
        <w:widowControl/>
        <w:tabs>
          <w:tab w:val="left" w:pos="1287"/>
        </w:tabs>
        <w:spacing w:line="360" w:lineRule="auto"/>
        <w:ind w:left="153" w:firstLine="582"/>
        <w:jc w:val="left"/>
        <w:rPr>
          <w:rFonts w:ascii="仿宋_GB2312" w:hAnsi="Arial" w:eastAsia="仿宋_GB2312" w:cs="Arial"/>
          <w:color w:val="000000" w:themeColor="text1"/>
          <w:spacing w:val="8"/>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30.</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企业社会贡献率</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衡量企业运用全部资产为社会创造或支付价值的能力。</w:t>
      </w:r>
    </w:p>
    <w:p>
      <w:pPr>
        <w:widowControl/>
        <w:tabs>
          <w:tab w:val="left" w:pos="1287"/>
        </w:tabs>
        <w:spacing w:line="360" w:lineRule="auto"/>
        <w:ind w:left="153" w:firstLine="582"/>
        <w:jc w:val="left"/>
        <w:rPr>
          <w:rFonts w:ascii="宋体" w:cs="宋体"/>
          <w:color w:val="000000" w:themeColor="text1"/>
          <w:kern w:val="0"/>
          <w:sz w:val="24"/>
          <w:szCs w:val="24"/>
          <w14:textFill>
            <w14:solidFill>
              <w14:schemeClr w14:val="tx1"/>
            </w14:solidFill>
          </w14:textFill>
        </w:rPr>
      </w:pPr>
      <w:r>
        <w:rPr>
          <w:color w:val="000000" w:themeColor="text1"/>
          <w:position w:val="-26"/>
          <w14:textFill>
            <w14:solidFill>
              <w14:schemeClr w14:val="tx1"/>
            </w14:solidFill>
          </w14:textFill>
        </w:rPr>
        <w:object>
          <v:shape id="_x0000_i1034" o:spt="75" type="#_x0000_t75" style="height:33.6pt;width:206.4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widowControl/>
        <w:spacing w:line="360" w:lineRule="auto"/>
        <w:ind w:firstLine="592"/>
        <w:jc w:val="left"/>
        <w:rPr>
          <w:rFonts w:ascii="宋体" w:cs="宋体"/>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spacing w:val="8"/>
          <w:kern w:val="0"/>
          <w:sz w:val="28"/>
          <w:szCs w:val="28"/>
          <w14:textFill>
            <w14:solidFill>
              <w14:schemeClr w14:val="tx1"/>
            </w14:solidFill>
          </w14:textFill>
        </w:rPr>
        <w:t>社会贡献总额包括工资、劳保退休统筹及其他社会福利支出、利息支出净额、应交增值税、产品销售税金及附加、应交所得税及其他税、净利润、捐赠或公益事业等。为了反映企业对国家所作贡献的程度，可按上述原则计算贡献率。</w:t>
      </w:r>
    </w:p>
    <w:p>
      <w:pPr>
        <w:widowControl/>
        <w:tabs>
          <w:tab w:val="left" w:pos="1287"/>
        </w:tabs>
        <w:spacing w:line="360" w:lineRule="auto"/>
        <w:ind w:left="153" w:firstLine="595"/>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31.</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企业社会责任体系</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企业社会责任体系主要包括：管理体系、制度体系、信息体系和监督体系。在完善社会责任体系的基础上，建立和完善履行社会责任的体制机制，制定规划，组织实施，切实履行社会责任，发布社会责任报告并接受社会监督。</w:t>
      </w:r>
    </w:p>
    <w:p>
      <w:pPr>
        <w:widowControl/>
        <w:tabs>
          <w:tab w:val="left" w:pos="1287"/>
        </w:tabs>
        <w:spacing w:line="360" w:lineRule="auto"/>
        <w:ind w:left="153" w:firstLine="567"/>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32.</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保障职工权益</w:t>
      </w:r>
      <w:r>
        <w:rPr>
          <w:rFonts w:ascii="仿宋_GB2312" w:hAnsi="Arial" w:eastAsia="仿宋_GB2312" w:cs="Arial"/>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为职工提供安全、健康、卫生的工作条件和生活环境，保障职工职业健康，预防和减少职业病和其他疾病对职工的危害。依法与职工签订并履行劳动合同，坚持按劳分配、同工同酬，建立工资正常增长机制，按时足额缴纳社会保险。尊重职工人格，公平对待职工，杜绝性别、民族、宗教、年龄等各种歧视。加强职业教育培训，创造平等发展机会。加强职代会制度建设，深化厂务公开，推进民主管理。关心职工生活，切实为职工排忧解难。</w:t>
      </w:r>
    </w:p>
    <w:p>
      <w:pPr>
        <w:widowControl/>
        <w:tabs>
          <w:tab w:val="left" w:pos="1287"/>
        </w:tabs>
        <w:spacing w:line="360" w:lineRule="auto"/>
        <w:ind w:left="153" w:firstLine="582"/>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33.</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社会公益也称社会利益</w:t>
      </w:r>
      <w:r>
        <w:rPr>
          <w:rFonts w:ascii="仿宋_GB2312" w:hAnsi="Arial" w:eastAsia="仿宋_GB2312" w:cs="Arial"/>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是指与社会或社会成员共同有关的利益。主要包含以下非营利事项：</w:t>
      </w:r>
      <w:r>
        <w:rPr>
          <w:rFonts w:ascii="仿宋_GB2312" w:hAnsi="Arial" w:eastAsia="仿宋_GB2312" w:cs="Arial"/>
          <w:color w:val="000000" w:themeColor="text1"/>
          <w:spacing w:val="8"/>
          <w:kern w:val="0"/>
          <w:sz w:val="28"/>
          <w:szCs w:val="28"/>
          <w14:textFill>
            <w14:solidFill>
              <w14:schemeClr w14:val="tx1"/>
            </w14:solidFill>
          </w14:textFill>
        </w:rPr>
        <w:t xml:space="preserve"> </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spacing w:val="8"/>
          <w:kern w:val="0"/>
          <w:sz w:val="28"/>
          <w:szCs w:val="28"/>
          <w14:textFill>
            <w14:solidFill>
              <w14:schemeClr w14:val="tx1"/>
            </w14:solidFill>
          </w14:textFill>
        </w:rPr>
        <w:t>（</w:t>
      </w:r>
      <w:r>
        <w:rPr>
          <w:rFonts w:ascii="Times New Roman" w:hAnsi="Times New Roman" w:eastAsia="仿宋_GB2312"/>
          <w:color w:val="000000" w:themeColor="text1"/>
          <w:spacing w:val="8"/>
          <w:kern w:val="0"/>
          <w:sz w:val="28"/>
          <w:szCs w:val="28"/>
          <w14:textFill>
            <w14:solidFill>
              <w14:schemeClr w14:val="tx1"/>
            </w14:solidFill>
          </w14:textFill>
        </w:rPr>
        <w:t>1</w:t>
      </w:r>
      <w:r>
        <w:rPr>
          <w:rFonts w:hint="eastAsia" w:ascii="Times New Roman" w:hAnsi="宋体" w:eastAsia="仿宋_GB2312" w:cs="宋体"/>
          <w:color w:val="000000" w:themeColor="text1"/>
          <w:spacing w:val="8"/>
          <w:kern w:val="0"/>
          <w:sz w:val="28"/>
          <w:szCs w:val="28"/>
          <w14:textFill>
            <w14:solidFill>
              <w14:schemeClr w14:val="tx1"/>
            </w14:solidFill>
          </w14:textFill>
        </w:rPr>
        <w:t>）救助灾害、救济贫困、扶助残疾人等困难的社会群体和个人的活动；</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spacing w:val="8"/>
          <w:kern w:val="0"/>
          <w:sz w:val="28"/>
          <w:szCs w:val="28"/>
          <w14:textFill>
            <w14:solidFill>
              <w14:schemeClr w14:val="tx1"/>
            </w14:solidFill>
          </w14:textFill>
        </w:rPr>
        <w:t>（</w:t>
      </w:r>
      <w:r>
        <w:rPr>
          <w:rFonts w:ascii="Times New Roman" w:hAnsi="Times New Roman" w:eastAsia="仿宋_GB2312"/>
          <w:color w:val="000000" w:themeColor="text1"/>
          <w:spacing w:val="8"/>
          <w:kern w:val="0"/>
          <w:sz w:val="28"/>
          <w:szCs w:val="28"/>
          <w14:textFill>
            <w14:solidFill>
              <w14:schemeClr w14:val="tx1"/>
            </w14:solidFill>
          </w14:textFill>
        </w:rPr>
        <w:t>2</w:t>
      </w:r>
      <w:r>
        <w:rPr>
          <w:rFonts w:hint="eastAsia" w:ascii="Times New Roman" w:hAnsi="宋体" w:eastAsia="仿宋_GB2312" w:cs="宋体"/>
          <w:color w:val="000000" w:themeColor="text1"/>
          <w:spacing w:val="8"/>
          <w:kern w:val="0"/>
          <w:sz w:val="28"/>
          <w:szCs w:val="28"/>
          <w14:textFill>
            <w14:solidFill>
              <w14:schemeClr w14:val="tx1"/>
            </w14:solidFill>
          </w14:textFill>
        </w:rPr>
        <w:t>）教育、科学、文化、卫生、体育事业；</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spacing w:val="8"/>
          <w:kern w:val="0"/>
          <w:sz w:val="28"/>
          <w:szCs w:val="28"/>
          <w14:textFill>
            <w14:solidFill>
              <w14:schemeClr w14:val="tx1"/>
            </w14:solidFill>
          </w14:textFill>
        </w:rPr>
        <w:t>（</w:t>
      </w:r>
      <w:r>
        <w:rPr>
          <w:rFonts w:ascii="Times New Roman" w:hAnsi="Times New Roman" w:eastAsia="仿宋_GB2312"/>
          <w:color w:val="000000" w:themeColor="text1"/>
          <w:spacing w:val="8"/>
          <w:kern w:val="0"/>
          <w:sz w:val="28"/>
          <w:szCs w:val="28"/>
          <w14:textFill>
            <w14:solidFill>
              <w14:schemeClr w14:val="tx1"/>
            </w14:solidFill>
          </w14:textFill>
        </w:rPr>
        <w:t>3</w:t>
      </w:r>
      <w:r>
        <w:rPr>
          <w:rFonts w:hint="eastAsia" w:ascii="Times New Roman" w:hAnsi="宋体" w:eastAsia="仿宋_GB2312" w:cs="宋体"/>
          <w:color w:val="000000" w:themeColor="text1"/>
          <w:spacing w:val="8"/>
          <w:kern w:val="0"/>
          <w:sz w:val="28"/>
          <w:szCs w:val="28"/>
          <w14:textFill>
            <w14:solidFill>
              <w14:schemeClr w14:val="tx1"/>
            </w14:solidFill>
          </w14:textFill>
        </w:rPr>
        <w:t>）环境保护、社会公共设施建设；</w:t>
      </w:r>
      <w:r>
        <w:rPr>
          <w:rFonts w:ascii="Times New Roman" w:hAnsi="Times New Roman" w:eastAsia="仿宋_GB2312"/>
          <w:color w:val="000000" w:themeColor="text1"/>
          <w:spacing w:val="8"/>
          <w:kern w:val="0"/>
          <w:sz w:val="28"/>
          <w:szCs w:val="28"/>
          <w14:textFill>
            <w14:solidFill>
              <w14:schemeClr w14:val="tx1"/>
            </w14:solidFill>
          </w14:textFill>
        </w:rPr>
        <w:t xml:space="preserve"> </w:t>
      </w:r>
    </w:p>
    <w:p>
      <w:pPr>
        <w:widowControl/>
        <w:spacing w:line="360" w:lineRule="auto"/>
        <w:ind w:firstLine="592" w:firstLineChars="200"/>
        <w:jc w:val="left"/>
        <w:rPr>
          <w:rFonts w:ascii="宋体" w:cs="宋体"/>
          <w:color w:val="000000" w:themeColor="text1"/>
          <w:kern w:val="0"/>
          <w:sz w:val="24"/>
          <w:szCs w:val="24"/>
          <w14:textFill>
            <w14:solidFill>
              <w14:schemeClr w14:val="tx1"/>
            </w14:solidFill>
          </w14:textFill>
        </w:rPr>
      </w:pPr>
      <w:r>
        <w:rPr>
          <w:rFonts w:hint="eastAsia" w:ascii="Times New Roman" w:hAnsi="宋体" w:eastAsia="仿宋_GB2312" w:cs="宋体"/>
          <w:color w:val="000000" w:themeColor="text1"/>
          <w:spacing w:val="8"/>
          <w:kern w:val="0"/>
          <w:sz w:val="28"/>
          <w:szCs w:val="28"/>
          <w14:textFill>
            <w14:solidFill>
              <w14:schemeClr w14:val="tx1"/>
            </w14:solidFill>
          </w14:textFill>
        </w:rPr>
        <w:t>（</w:t>
      </w:r>
      <w:r>
        <w:rPr>
          <w:rFonts w:ascii="Times New Roman" w:hAnsi="Times New Roman" w:eastAsia="仿宋_GB2312"/>
          <w:color w:val="000000" w:themeColor="text1"/>
          <w:spacing w:val="8"/>
          <w:kern w:val="0"/>
          <w:sz w:val="28"/>
          <w:szCs w:val="28"/>
          <w14:textFill>
            <w14:solidFill>
              <w14:schemeClr w14:val="tx1"/>
            </w14:solidFill>
          </w14:textFill>
        </w:rPr>
        <w:t>4</w:t>
      </w:r>
      <w:r>
        <w:rPr>
          <w:rFonts w:hint="eastAsia" w:ascii="Times New Roman" w:hAnsi="宋体" w:eastAsia="仿宋_GB2312" w:cs="宋体"/>
          <w:color w:val="000000" w:themeColor="text1"/>
          <w:spacing w:val="8"/>
          <w:kern w:val="0"/>
          <w:sz w:val="28"/>
          <w:szCs w:val="28"/>
          <w14:textFill>
            <w14:solidFill>
              <w14:schemeClr w14:val="tx1"/>
            </w14:solidFill>
          </w14:textFill>
        </w:rPr>
        <w:t>）促进社会发展和进步的其他社会公共和福利事业。</w:t>
      </w:r>
    </w:p>
    <w:p>
      <w:pPr>
        <w:widowControl/>
        <w:tabs>
          <w:tab w:val="left" w:pos="1287"/>
        </w:tabs>
        <w:ind w:left="153" w:firstLine="561"/>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34.</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全员劳动生产率</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指根据</w:t>
      </w:r>
      <w:r>
        <w:fldChar w:fldCharType="begin"/>
      </w:r>
      <w:r>
        <w:instrText xml:space="preserve"> HYPERLINK "http://baike.baidu.com/view/1214.htm"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产品</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的</w:t>
      </w:r>
      <w:r>
        <w:fldChar w:fldCharType="begin"/>
      </w:r>
      <w:r>
        <w:instrText xml:space="preserve"> HYPERLINK "http://baike.baidu.com/view/457346.htm"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价值量</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fldChar w:fldCharType="begin"/>
      </w:r>
      <w:r>
        <w:instrText xml:space="preserve"> HYPERLINK "http://baike.baidu.com/view/605645.htm"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指标</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计算的平均每一个从业人员在单位时间内的产品</w:t>
      </w:r>
      <w:r>
        <w:fldChar w:fldCharType="begin"/>
      </w:r>
      <w:r>
        <w:instrText xml:space="preserve"> HYPERLINK "http://baike.baidu.com/view/855326.htm"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生产量</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。是考核</w:t>
      </w:r>
      <w:r>
        <w:fldChar w:fldCharType="begin"/>
      </w:r>
      <w:r>
        <w:instrText xml:space="preserve"> HYPERLINK "http://baike.baidu.com/view/38340.htm"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企业</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fldChar w:fldCharType="begin"/>
      </w:r>
      <w:r>
        <w:instrText xml:space="preserve"> HYPERLINK "http://baike.baidu.com/view/1458211.htm"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经济活动</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的重要指标，是企业生产技术水平、</w:t>
      </w:r>
      <w:r>
        <w:fldChar w:fldCharType="begin"/>
      </w:r>
      <w:r>
        <w:instrText xml:space="preserve"> HYPERLINK "http://baike.baidu.com/view/1062756.htm"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经营管理</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水平、</w:t>
      </w:r>
      <w:r>
        <w:fldChar w:fldCharType="begin"/>
      </w:r>
      <w:r>
        <w:instrText xml:space="preserve"> HYPERLINK "http://baike.baidu.com/view/460948.htm"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职工</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技术熟练程度和劳动积极性的综合表现。目前我国的全员劳动生产率是将工业企业的工业</w:t>
      </w:r>
      <w:r>
        <w:fldChar w:fldCharType="begin"/>
      </w:r>
      <w:r>
        <w:instrText xml:space="preserve"> HYPERLINK "http://baike.baidu.com/view/245558.htm"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增加值</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除以同一时期全部从业人员的平均人数来计算的。计算公式为：</w:t>
      </w:r>
      <w:r>
        <w:rPr>
          <w:color w:val="000000" w:themeColor="text1"/>
          <w:position w:val="-26"/>
          <w14:textFill>
            <w14:solidFill>
              <w14:schemeClr w14:val="tx1"/>
            </w14:solidFill>
          </w14:textFill>
        </w:rPr>
        <w:object>
          <v:shape id="_x0000_i1035" o:spt="75" type="#_x0000_t75" style="height:33.6pt;width:278.4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35.</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销售收入</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企业在一定时期内产品销售的货币收入总额，计算公式为：</w:t>
      </w:r>
      <w:r>
        <w:rPr>
          <w:color w:val="000000" w:themeColor="text1"/>
          <w:position w:val="-8"/>
          <w14:textFill>
            <w14:solidFill>
              <w14:schemeClr w14:val="tx1"/>
            </w14:solidFill>
          </w14:textFill>
        </w:rPr>
        <w:object>
          <v:shape id="_x0000_i1036" o:spt="75" type="#_x0000_t75" style="height:15.6pt;width:209.4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36.</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color w:val="000000" w:themeColor="text1"/>
          <w:spacing w:val="8"/>
          <w:kern w:val="0"/>
          <w:sz w:val="28"/>
          <w:szCs w:val="28"/>
          <w14:textFill>
            <w14:solidFill>
              <w14:schemeClr w14:val="tx1"/>
            </w14:solidFill>
          </w14:textFill>
        </w:rPr>
        <w:t>净利润</w:t>
      </w:r>
      <w:r>
        <w:rPr>
          <w:rFonts w:ascii="仿宋_GB2312" w:hAnsi="Arial" w:eastAsia="仿宋_GB2312" w:cs="Arial"/>
          <w:b/>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是指在</w:t>
      </w:r>
      <w:r>
        <w:fldChar w:fldCharType="begin"/>
      </w:r>
      <w:r>
        <w:instrText xml:space="preserve"> HYPERLINK "http://baike.baidu.com/view/277792.htm"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利润总额</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中按规定交纳了</w:t>
      </w:r>
      <w:r>
        <w:fldChar w:fldCharType="begin"/>
      </w:r>
      <w:r>
        <w:instrText xml:space="preserve"> HYPERLINK "http://baike.baidu.com/view/632099.htm"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所得税</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后公司的</w:t>
      </w:r>
      <w:r>
        <w:fldChar w:fldCharType="begin"/>
      </w:r>
      <w:r>
        <w:instrText xml:space="preserve"> HYPERLINK "http://baike.baidu.com/view/150325.htm" \t "_blank" </w:instrText>
      </w:r>
      <w:r>
        <w:fldChar w:fldCharType="separate"/>
      </w:r>
      <w:r>
        <w:rPr>
          <w:rFonts w:hint="eastAsia" w:ascii="仿宋_GB2312" w:hAnsi="Arial" w:eastAsia="仿宋_GB2312" w:cs="Arial"/>
          <w:color w:val="000000" w:themeColor="text1"/>
          <w:spacing w:val="8"/>
          <w:kern w:val="0"/>
          <w:sz w:val="28"/>
          <w14:textFill>
            <w14:solidFill>
              <w14:schemeClr w14:val="tx1"/>
            </w14:solidFill>
          </w14:textFill>
        </w:rPr>
        <w:t>利润</w:t>
      </w:r>
      <w:r>
        <w:rPr>
          <w:rFonts w:hint="eastAsia" w:ascii="仿宋_GB2312" w:hAnsi="Arial" w:eastAsia="仿宋_GB2312" w:cs="Arial"/>
          <w:color w:val="000000" w:themeColor="text1"/>
          <w:spacing w:val="8"/>
          <w:kern w:val="0"/>
          <w:sz w:val="28"/>
          <w14:textFill>
            <w14:solidFill>
              <w14:schemeClr w14:val="tx1"/>
            </w14:solidFill>
          </w14:textFill>
        </w:rPr>
        <w:fldChar w:fldCharType="end"/>
      </w:r>
      <w:r>
        <w:rPr>
          <w:rFonts w:hint="eastAsia" w:ascii="仿宋_GB2312" w:hAnsi="Arial" w:eastAsia="仿宋_GB2312" w:cs="Arial"/>
          <w:color w:val="000000" w:themeColor="text1"/>
          <w:spacing w:val="8"/>
          <w:kern w:val="0"/>
          <w:sz w:val="28"/>
          <w:szCs w:val="28"/>
          <w14:textFill>
            <w14:solidFill>
              <w14:schemeClr w14:val="tx1"/>
            </w14:solidFill>
          </w14:textFill>
        </w:rPr>
        <w:t>留成，一般也称为税后利润。</w:t>
      </w:r>
    </w:p>
    <w:p>
      <w:pPr>
        <w:widowControl/>
        <w:tabs>
          <w:tab w:val="left" w:pos="1287"/>
        </w:tabs>
        <w:spacing w:line="360" w:lineRule="auto"/>
        <w:ind w:left="153" w:firstLine="594"/>
        <w:jc w:val="left"/>
        <w:rPr>
          <w:rFonts w:ascii="宋体" w:cs="宋体"/>
          <w:color w:val="000000" w:themeColor="text1"/>
          <w:kern w:val="0"/>
          <w:sz w:val="24"/>
          <w:szCs w:val="24"/>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37.</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人才发展战略</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ascii="仿宋_GB2312" w:hAnsi="Arial" w:eastAsia="仿宋_GB2312" w:cs="Arial"/>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主要描述企业如何坚持服务发展、人才优先、以用为本、创新机制、高端引领、整体开发的指导方针，加强人才资源能力建设，推动人才结构战略性调整，创新人才工作体制机制，实行人才投资优先，实施更加开放的人才政策，加快人才工作法制建设，培养造就宏大的高素质人才队伍。</w:t>
      </w:r>
    </w:p>
    <w:p>
      <w:pPr>
        <w:widowControl/>
        <w:tabs>
          <w:tab w:val="left" w:pos="1287"/>
        </w:tabs>
        <w:spacing w:line="360" w:lineRule="auto"/>
        <w:ind w:left="153" w:firstLine="594"/>
        <w:jc w:val="left"/>
        <w:rPr>
          <w:rFonts w:ascii="宋体" w:cs="宋体"/>
          <w:kern w:val="0"/>
          <w:sz w:val="24"/>
          <w:szCs w:val="24"/>
        </w:rPr>
      </w:pPr>
      <w:r>
        <w:rPr>
          <w:rFonts w:ascii="Times New Roman" w:hAnsi="Times New Roman"/>
          <w:b/>
          <w:color w:val="000000" w:themeColor="text1"/>
          <w:kern w:val="0"/>
          <w:sz w:val="28"/>
          <w:szCs w:val="28"/>
          <w14:textFill>
            <w14:solidFill>
              <w14:schemeClr w14:val="tx1"/>
            </w14:solidFill>
          </w14:textFill>
        </w:rPr>
        <w:t>38.</w:t>
      </w:r>
      <w:r>
        <w:rPr>
          <w:rFonts w:ascii="Times New Roman" w:hAnsi="Times New Roman"/>
          <w:b/>
          <w:color w:val="000000" w:themeColor="text1"/>
          <w:kern w:val="0"/>
          <w:sz w:val="14"/>
          <w:szCs w:val="14"/>
          <w14:textFill>
            <w14:solidFill>
              <w14:schemeClr w14:val="tx1"/>
            </w14:solidFill>
          </w14:textFill>
        </w:rPr>
        <w:t xml:space="preserve">      </w:t>
      </w:r>
      <w:r>
        <w:rPr>
          <w:rFonts w:hint="eastAsia" w:ascii="仿宋_GB2312" w:hAnsi="Arial" w:eastAsia="仿宋_GB2312" w:cs="Arial"/>
          <w:b/>
          <w:bCs/>
          <w:color w:val="000000" w:themeColor="text1"/>
          <w:spacing w:val="8"/>
          <w:kern w:val="0"/>
          <w:sz w:val="28"/>
          <w:szCs w:val="28"/>
          <w14:textFill>
            <w14:solidFill>
              <w14:schemeClr w14:val="tx1"/>
            </w14:solidFill>
          </w14:textFill>
        </w:rPr>
        <w:t>企业文化建设</w:t>
      </w:r>
      <w:r>
        <w:rPr>
          <w:rFonts w:ascii="仿宋_GB2312" w:hAnsi="Arial" w:eastAsia="仿宋_GB2312" w:cs="Arial"/>
          <w:b/>
          <w:bCs/>
          <w:color w:val="000000" w:themeColor="text1"/>
          <w:spacing w:val="8"/>
          <w:kern w:val="0"/>
          <w:sz w:val="28"/>
          <w:szCs w:val="28"/>
          <w14:textFill>
            <w14:solidFill>
              <w14:schemeClr w14:val="tx1"/>
            </w14:solidFill>
          </w14:textFill>
        </w:rPr>
        <w:t xml:space="preserve">  </w:t>
      </w:r>
      <w:r>
        <w:rPr>
          <w:rFonts w:hint="eastAsia" w:ascii="仿宋_GB2312" w:hAnsi="Arial" w:eastAsia="仿宋_GB2312" w:cs="Arial"/>
          <w:color w:val="000000" w:themeColor="text1"/>
          <w:spacing w:val="8"/>
          <w:kern w:val="0"/>
          <w:sz w:val="28"/>
          <w:szCs w:val="28"/>
          <w14:textFill>
            <w14:solidFill>
              <w14:schemeClr w14:val="tx1"/>
            </w14:solidFill>
          </w14:textFill>
        </w:rPr>
        <w:t>主要描述：总结、提炼和培育以爱国主义为核心的民族精神和以改革创新为核心的时代精神，弘扬社会主义核心价值观的企业核心价值观和企业精神；结合企业经营发展战略，提炼各具特色、充满生机而又符合企业实际的企业经营管理理念；完善相关管理制度，寓文化理念于制度之中，规范员工行为，提高管理效能；加强思想道德建设，提高员工综合素质，培育</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四有</w:t>
      </w:r>
      <w:r>
        <w:rPr>
          <w:rFonts w:ascii="仿宋_GB2312" w:hAnsi="Arial" w:eastAsia="仿宋_GB2312" w:cs="Arial"/>
          <w:color w:val="000000" w:themeColor="text1"/>
          <w:spacing w:val="8"/>
          <w:kern w:val="0"/>
          <w:sz w:val="28"/>
          <w:szCs w:val="28"/>
          <w14:textFill>
            <w14:solidFill>
              <w14:schemeClr w14:val="tx1"/>
            </w14:solidFill>
          </w14:textFill>
        </w:rPr>
        <w:t>”</w:t>
      </w:r>
      <w:r>
        <w:rPr>
          <w:rFonts w:hint="eastAsia" w:ascii="仿宋_GB2312" w:hAnsi="Arial" w:eastAsia="仿宋_GB2312" w:cs="Arial"/>
          <w:color w:val="000000" w:themeColor="text1"/>
          <w:spacing w:val="8"/>
          <w:kern w:val="0"/>
          <w:sz w:val="28"/>
          <w:szCs w:val="28"/>
          <w14:textFill>
            <w14:solidFill>
              <w14:schemeClr w14:val="tx1"/>
            </w14:solidFill>
          </w14:textFill>
        </w:rPr>
        <w:t>员工队伍，促进人的全面发展；建立企业标识体系，加强企业文化设施建设，美化工作生活环境，树立企业良好的公众形象；按照现代企业制度的要求，构建协调有力的领导体制和运行机制，不断提高企业文化建设水平。</w:t>
      </w:r>
    </w:p>
    <w:p>
      <w:pPr>
        <w:widowControl/>
        <w:spacing w:before="100" w:beforeAutospacing="1" w:after="100" w:afterAutospacing="1"/>
        <w:jc w:val="left"/>
      </w:pPr>
      <w:r>
        <w:rPr>
          <w:rFonts w:ascii="Arial" w:hAnsi="Arial" w:cs="Arial"/>
          <w:kern w:val="0"/>
          <w:sz w:val="18"/>
          <w:szCs w:val="1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魏碑简体">
    <w:altName w:val="Arial Unicode MS"/>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汉仪书宋一简">
    <w:altName w:val="宋体"/>
    <w:panose1 w:val="00000000000000000000"/>
    <w:charset w:val="86"/>
    <w:family w:val="roman"/>
    <w:pitch w:val="default"/>
    <w:sig w:usb0="00000000" w:usb1="00000000" w:usb2="00000010" w:usb3="00000000" w:csb0="00040000" w:csb1="00000000"/>
  </w:font>
  <w:font w:name="汉仪中黑简">
    <w:altName w:val="黑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Fonts w:ascii="Times New Roman" w:hAnsi="Times New Roman"/>
        <w:sz w:val="28"/>
        <w:szCs w:val="28"/>
      </w:rPr>
    </w:pP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20</w:t>
    </w:r>
    <w:r>
      <w:rPr>
        <w:rStyle w:val="18"/>
        <w:rFonts w:ascii="Times New Roman" w:hAnsi="Times New Roman"/>
        <w:sz w:val="28"/>
        <w:szCs w:val="28"/>
      </w:rP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BD"/>
    <w:rsid w:val="00003F6D"/>
    <w:rsid w:val="00025E2B"/>
    <w:rsid w:val="00031CD8"/>
    <w:rsid w:val="000330B2"/>
    <w:rsid w:val="0003747F"/>
    <w:rsid w:val="0004523F"/>
    <w:rsid w:val="00050BD9"/>
    <w:rsid w:val="000629E8"/>
    <w:rsid w:val="00067883"/>
    <w:rsid w:val="00084AA6"/>
    <w:rsid w:val="00087CB7"/>
    <w:rsid w:val="0009037B"/>
    <w:rsid w:val="00096548"/>
    <w:rsid w:val="000A67D5"/>
    <w:rsid w:val="000B071F"/>
    <w:rsid w:val="000F51D2"/>
    <w:rsid w:val="0010641D"/>
    <w:rsid w:val="00124FF1"/>
    <w:rsid w:val="00134B63"/>
    <w:rsid w:val="00136446"/>
    <w:rsid w:val="001524AF"/>
    <w:rsid w:val="00152690"/>
    <w:rsid w:val="001578AA"/>
    <w:rsid w:val="001634C3"/>
    <w:rsid w:val="001A0D5E"/>
    <w:rsid w:val="001C1530"/>
    <w:rsid w:val="001C1782"/>
    <w:rsid w:val="001C7470"/>
    <w:rsid w:val="001D325D"/>
    <w:rsid w:val="001F2592"/>
    <w:rsid w:val="001F682D"/>
    <w:rsid w:val="001F7C8C"/>
    <w:rsid w:val="00233785"/>
    <w:rsid w:val="0023392A"/>
    <w:rsid w:val="00233DCA"/>
    <w:rsid w:val="00247287"/>
    <w:rsid w:val="002522AE"/>
    <w:rsid w:val="0026672F"/>
    <w:rsid w:val="002707DA"/>
    <w:rsid w:val="00277DAD"/>
    <w:rsid w:val="00280C1E"/>
    <w:rsid w:val="002857D2"/>
    <w:rsid w:val="00286B65"/>
    <w:rsid w:val="002A55B6"/>
    <w:rsid w:val="002A7979"/>
    <w:rsid w:val="002C270E"/>
    <w:rsid w:val="002C75A4"/>
    <w:rsid w:val="0031171A"/>
    <w:rsid w:val="0031425A"/>
    <w:rsid w:val="0031477D"/>
    <w:rsid w:val="003179F7"/>
    <w:rsid w:val="0032156F"/>
    <w:rsid w:val="00324195"/>
    <w:rsid w:val="00326425"/>
    <w:rsid w:val="00342DF3"/>
    <w:rsid w:val="00346152"/>
    <w:rsid w:val="0034690C"/>
    <w:rsid w:val="00346E2A"/>
    <w:rsid w:val="003632E1"/>
    <w:rsid w:val="00363754"/>
    <w:rsid w:val="003650F4"/>
    <w:rsid w:val="003709AF"/>
    <w:rsid w:val="00371C30"/>
    <w:rsid w:val="003741D0"/>
    <w:rsid w:val="003768FE"/>
    <w:rsid w:val="00376BD5"/>
    <w:rsid w:val="00376BFD"/>
    <w:rsid w:val="00377594"/>
    <w:rsid w:val="00380091"/>
    <w:rsid w:val="00382074"/>
    <w:rsid w:val="00382D71"/>
    <w:rsid w:val="00384DDD"/>
    <w:rsid w:val="003930F5"/>
    <w:rsid w:val="003965DF"/>
    <w:rsid w:val="003B40EF"/>
    <w:rsid w:val="003B6213"/>
    <w:rsid w:val="003B77A1"/>
    <w:rsid w:val="003B7803"/>
    <w:rsid w:val="003D6AE9"/>
    <w:rsid w:val="003E1A3A"/>
    <w:rsid w:val="003F0963"/>
    <w:rsid w:val="003F4A39"/>
    <w:rsid w:val="003F4F3D"/>
    <w:rsid w:val="00400C05"/>
    <w:rsid w:val="00412987"/>
    <w:rsid w:val="004203C8"/>
    <w:rsid w:val="00422034"/>
    <w:rsid w:val="004300B8"/>
    <w:rsid w:val="0043570B"/>
    <w:rsid w:val="004458B8"/>
    <w:rsid w:val="004470E9"/>
    <w:rsid w:val="00452FB6"/>
    <w:rsid w:val="00453240"/>
    <w:rsid w:val="004533A5"/>
    <w:rsid w:val="00467D70"/>
    <w:rsid w:val="00467E76"/>
    <w:rsid w:val="0049160D"/>
    <w:rsid w:val="004A33CE"/>
    <w:rsid w:val="004B0F40"/>
    <w:rsid w:val="004B758F"/>
    <w:rsid w:val="004C046C"/>
    <w:rsid w:val="004C5F7D"/>
    <w:rsid w:val="004D0B89"/>
    <w:rsid w:val="004D35AE"/>
    <w:rsid w:val="004D3721"/>
    <w:rsid w:val="004D49C1"/>
    <w:rsid w:val="004D59D8"/>
    <w:rsid w:val="004E2999"/>
    <w:rsid w:val="004E530C"/>
    <w:rsid w:val="004F1F1E"/>
    <w:rsid w:val="004F6373"/>
    <w:rsid w:val="0050057E"/>
    <w:rsid w:val="005105FC"/>
    <w:rsid w:val="00512B37"/>
    <w:rsid w:val="00515DF7"/>
    <w:rsid w:val="00517DBD"/>
    <w:rsid w:val="00522B32"/>
    <w:rsid w:val="00525516"/>
    <w:rsid w:val="005301B8"/>
    <w:rsid w:val="005344BD"/>
    <w:rsid w:val="00540428"/>
    <w:rsid w:val="005416C2"/>
    <w:rsid w:val="00544E9A"/>
    <w:rsid w:val="005507AF"/>
    <w:rsid w:val="00551EAE"/>
    <w:rsid w:val="00556CFA"/>
    <w:rsid w:val="00557395"/>
    <w:rsid w:val="00597645"/>
    <w:rsid w:val="005A03A3"/>
    <w:rsid w:val="005A1FAE"/>
    <w:rsid w:val="005A2988"/>
    <w:rsid w:val="005A5EC8"/>
    <w:rsid w:val="005B0B85"/>
    <w:rsid w:val="005B5800"/>
    <w:rsid w:val="005C3FAC"/>
    <w:rsid w:val="005C5240"/>
    <w:rsid w:val="005C5F87"/>
    <w:rsid w:val="005C7A2E"/>
    <w:rsid w:val="005E1BF6"/>
    <w:rsid w:val="005F3563"/>
    <w:rsid w:val="006018F7"/>
    <w:rsid w:val="00614934"/>
    <w:rsid w:val="00620E70"/>
    <w:rsid w:val="00621209"/>
    <w:rsid w:val="0063429C"/>
    <w:rsid w:val="006411A4"/>
    <w:rsid w:val="00644815"/>
    <w:rsid w:val="0065333C"/>
    <w:rsid w:val="006535AC"/>
    <w:rsid w:val="006547EF"/>
    <w:rsid w:val="00654F9D"/>
    <w:rsid w:val="00655FA8"/>
    <w:rsid w:val="00656A23"/>
    <w:rsid w:val="0066343E"/>
    <w:rsid w:val="00671980"/>
    <w:rsid w:val="0067467D"/>
    <w:rsid w:val="00674CA2"/>
    <w:rsid w:val="00677DE8"/>
    <w:rsid w:val="0068490B"/>
    <w:rsid w:val="006923DD"/>
    <w:rsid w:val="006A37CE"/>
    <w:rsid w:val="006A713C"/>
    <w:rsid w:val="006D7E36"/>
    <w:rsid w:val="006E6444"/>
    <w:rsid w:val="0070234C"/>
    <w:rsid w:val="007059A7"/>
    <w:rsid w:val="00712A1B"/>
    <w:rsid w:val="00712CB2"/>
    <w:rsid w:val="00721FF5"/>
    <w:rsid w:val="00723D39"/>
    <w:rsid w:val="007252DE"/>
    <w:rsid w:val="00733EA4"/>
    <w:rsid w:val="00737CF3"/>
    <w:rsid w:val="007605B4"/>
    <w:rsid w:val="0077637C"/>
    <w:rsid w:val="0079738D"/>
    <w:rsid w:val="007A3B20"/>
    <w:rsid w:val="007A7519"/>
    <w:rsid w:val="007C0C22"/>
    <w:rsid w:val="007C2F70"/>
    <w:rsid w:val="007C399A"/>
    <w:rsid w:val="007C74B6"/>
    <w:rsid w:val="007D1090"/>
    <w:rsid w:val="007D66C0"/>
    <w:rsid w:val="007E0970"/>
    <w:rsid w:val="007E0B4E"/>
    <w:rsid w:val="007E3021"/>
    <w:rsid w:val="007F2B00"/>
    <w:rsid w:val="007F358C"/>
    <w:rsid w:val="007F37FC"/>
    <w:rsid w:val="007F6079"/>
    <w:rsid w:val="007F766A"/>
    <w:rsid w:val="00800C71"/>
    <w:rsid w:val="00803A89"/>
    <w:rsid w:val="00805D8A"/>
    <w:rsid w:val="00811E98"/>
    <w:rsid w:val="0082376A"/>
    <w:rsid w:val="008247F7"/>
    <w:rsid w:val="00827316"/>
    <w:rsid w:val="00827D55"/>
    <w:rsid w:val="00835202"/>
    <w:rsid w:val="0085123F"/>
    <w:rsid w:val="00856F81"/>
    <w:rsid w:val="0086209E"/>
    <w:rsid w:val="00867736"/>
    <w:rsid w:val="00895D95"/>
    <w:rsid w:val="008A4F87"/>
    <w:rsid w:val="008A6545"/>
    <w:rsid w:val="008B2809"/>
    <w:rsid w:val="008B2C57"/>
    <w:rsid w:val="008B67DC"/>
    <w:rsid w:val="008C71EA"/>
    <w:rsid w:val="008D78C5"/>
    <w:rsid w:val="008E36D4"/>
    <w:rsid w:val="008F3188"/>
    <w:rsid w:val="008F7C9E"/>
    <w:rsid w:val="0090615C"/>
    <w:rsid w:val="00914C72"/>
    <w:rsid w:val="0092093E"/>
    <w:rsid w:val="00922A20"/>
    <w:rsid w:val="00923415"/>
    <w:rsid w:val="00940493"/>
    <w:rsid w:val="00945361"/>
    <w:rsid w:val="0095193F"/>
    <w:rsid w:val="009610BF"/>
    <w:rsid w:val="00964FF9"/>
    <w:rsid w:val="009731D1"/>
    <w:rsid w:val="00974FFE"/>
    <w:rsid w:val="00983DDD"/>
    <w:rsid w:val="00990061"/>
    <w:rsid w:val="009A1039"/>
    <w:rsid w:val="009A2E70"/>
    <w:rsid w:val="009B097A"/>
    <w:rsid w:val="009B411C"/>
    <w:rsid w:val="009B44A5"/>
    <w:rsid w:val="009C4CD5"/>
    <w:rsid w:val="009D03B8"/>
    <w:rsid w:val="009D32AA"/>
    <w:rsid w:val="009E0615"/>
    <w:rsid w:val="009E7C87"/>
    <w:rsid w:val="00A00BC8"/>
    <w:rsid w:val="00A27D49"/>
    <w:rsid w:val="00A33D48"/>
    <w:rsid w:val="00A33DCE"/>
    <w:rsid w:val="00A3420B"/>
    <w:rsid w:val="00A35768"/>
    <w:rsid w:val="00A35B15"/>
    <w:rsid w:val="00A421A9"/>
    <w:rsid w:val="00A43608"/>
    <w:rsid w:val="00A44271"/>
    <w:rsid w:val="00A44B30"/>
    <w:rsid w:val="00A45911"/>
    <w:rsid w:val="00A56374"/>
    <w:rsid w:val="00A671B6"/>
    <w:rsid w:val="00A82495"/>
    <w:rsid w:val="00A919F5"/>
    <w:rsid w:val="00A94414"/>
    <w:rsid w:val="00A9725A"/>
    <w:rsid w:val="00A97315"/>
    <w:rsid w:val="00AB10D5"/>
    <w:rsid w:val="00AB14EF"/>
    <w:rsid w:val="00AC7DF6"/>
    <w:rsid w:val="00AD338F"/>
    <w:rsid w:val="00AD622A"/>
    <w:rsid w:val="00AD63BC"/>
    <w:rsid w:val="00AE32B7"/>
    <w:rsid w:val="00AF305D"/>
    <w:rsid w:val="00B106C7"/>
    <w:rsid w:val="00B15095"/>
    <w:rsid w:val="00B22A2D"/>
    <w:rsid w:val="00B278D5"/>
    <w:rsid w:val="00B41713"/>
    <w:rsid w:val="00B41B03"/>
    <w:rsid w:val="00B43332"/>
    <w:rsid w:val="00B448A5"/>
    <w:rsid w:val="00B4594B"/>
    <w:rsid w:val="00B553ED"/>
    <w:rsid w:val="00B55A27"/>
    <w:rsid w:val="00B57C83"/>
    <w:rsid w:val="00B7399E"/>
    <w:rsid w:val="00B73B23"/>
    <w:rsid w:val="00B7776B"/>
    <w:rsid w:val="00B87964"/>
    <w:rsid w:val="00B93045"/>
    <w:rsid w:val="00B94B51"/>
    <w:rsid w:val="00B97944"/>
    <w:rsid w:val="00BA13EC"/>
    <w:rsid w:val="00BA5FF2"/>
    <w:rsid w:val="00BB0178"/>
    <w:rsid w:val="00BB24A7"/>
    <w:rsid w:val="00BB5973"/>
    <w:rsid w:val="00BC71BE"/>
    <w:rsid w:val="00BD60A9"/>
    <w:rsid w:val="00BE73F3"/>
    <w:rsid w:val="00C11FD2"/>
    <w:rsid w:val="00C303EC"/>
    <w:rsid w:val="00C416D0"/>
    <w:rsid w:val="00C72C9D"/>
    <w:rsid w:val="00C76C15"/>
    <w:rsid w:val="00C85116"/>
    <w:rsid w:val="00CA58A6"/>
    <w:rsid w:val="00CB0AE0"/>
    <w:rsid w:val="00CC2248"/>
    <w:rsid w:val="00CC2BB2"/>
    <w:rsid w:val="00CD1C84"/>
    <w:rsid w:val="00CD6A18"/>
    <w:rsid w:val="00CD7C3A"/>
    <w:rsid w:val="00CE2E84"/>
    <w:rsid w:val="00CE452F"/>
    <w:rsid w:val="00CE4542"/>
    <w:rsid w:val="00D05073"/>
    <w:rsid w:val="00D0766E"/>
    <w:rsid w:val="00D109E3"/>
    <w:rsid w:val="00D229C0"/>
    <w:rsid w:val="00D24891"/>
    <w:rsid w:val="00D26492"/>
    <w:rsid w:val="00D41A43"/>
    <w:rsid w:val="00D43E3C"/>
    <w:rsid w:val="00D54286"/>
    <w:rsid w:val="00D554B2"/>
    <w:rsid w:val="00D61ACC"/>
    <w:rsid w:val="00D67CD1"/>
    <w:rsid w:val="00D74ED0"/>
    <w:rsid w:val="00D7790D"/>
    <w:rsid w:val="00D834DE"/>
    <w:rsid w:val="00D91E02"/>
    <w:rsid w:val="00D94799"/>
    <w:rsid w:val="00D96AE6"/>
    <w:rsid w:val="00DA04B4"/>
    <w:rsid w:val="00DB0893"/>
    <w:rsid w:val="00DB61D2"/>
    <w:rsid w:val="00DC6648"/>
    <w:rsid w:val="00DC6D75"/>
    <w:rsid w:val="00DD5631"/>
    <w:rsid w:val="00DE2662"/>
    <w:rsid w:val="00DF6A3F"/>
    <w:rsid w:val="00E0667B"/>
    <w:rsid w:val="00E07615"/>
    <w:rsid w:val="00E50591"/>
    <w:rsid w:val="00E5159A"/>
    <w:rsid w:val="00E523FA"/>
    <w:rsid w:val="00E52A8B"/>
    <w:rsid w:val="00E579AB"/>
    <w:rsid w:val="00E63AA8"/>
    <w:rsid w:val="00E70852"/>
    <w:rsid w:val="00E72B0F"/>
    <w:rsid w:val="00E94B92"/>
    <w:rsid w:val="00EA28C4"/>
    <w:rsid w:val="00EA3E4B"/>
    <w:rsid w:val="00EC13B5"/>
    <w:rsid w:val="00ED2213"/>
    <w:rsid w:val="00ED6510"/>
    <w:rsid w:val="00ED767C"/>
    <w:rsid w:val="00F101D6"/>
    <w:rsid w:val="00F11A86"/>
    <w:rsid w:val="00F11D76"/>
    <w:rsid w:val="00F22910"/>
    <w:rsid w:val="00F32E3E"/>
    <w:rsid w:val="00F3382F"/>
    <w:rsid w:val="00F37260"/>
    <w:rsid w:val="00F43CF4"/>
    <w:rsid w:val="00F44F1C"/>
    <w:rsid w:val="00F61548"/>
    <w:rsid w:val="00F66440"/>
    <w:rsid w:val="00F7071B"/>
    <w:rsid w:val="00F77838"/>
    <w:rsid w:val="00F85CE0"/>
    <w:rsid w:val="00F9109E"/>
    <w:rsid w:val="00F97D38"/>
    <w:rsid w:val="00FA5BF2"/>
    <w:rsid w:val="00FB02CB"/>
    <w:rsid w:val="00FB14DC"/>
    <w:rsid w:val="00FB33D0"/>
    <w:rsid w:val="00FC34A3"/>
    <w:rsid w:val="00FD064E"/>
    <w:rsid w:val="00FD54F4"/>
    <w:rsid w:val="00FE1BFC"/>
    <w:rsid w:val="00FF4486"/>
    <w:rsid w:val="02413AB1"/>
    <w:rsid w:val="02595E5B"/>
    <w:rsid w:val="02761F90"/>
    <w:rsid w:val="03860445"/>
    <w:rsid w:val="04C07763"/>
    <w:rsid w:val="07B33CF6"/>
    <w:rsid w:val="0E714B78"/>
    <w:rsid w:val="128E58CB"/>
    <w:rsid w:val="1D3B4BCD"/>
    <w:rsid w:val="217F05EC"/>
    <w:rsid w:val="228D12F9"/>
    <w:rsid w:val="27847B27"/>
    <w:rsid w:val="288B4098"/>
    <w:rsid w:val="2AB05D2D"/>
    <w:rsid w:val="2B6E5234"/>
    <w:rsid w:val="2BC036DD"/>
    <w:rsid w:val="2DF7743D"/>
    <w:rsid w:val="2F2B210A"/>
    <w:rsid w:val="2FAE61CD"/>
    <w:rsid w:val="319A7CE2"/>
    <w:rsid w:val="37521EA8"/>
    <w:rsid w:val="39031F26"/>
    <w:rsid w:val="3D394526"/>
    <w:rsid w:val="3DAA16DF"/>
    <w:rsid w:val="3EF25EB6"/>
    <w:rsid w:val="40F75D26"/>
    <w:rsid w:val="41BF0F9E"/>
    <w:rsid w:val="42663910"/>
    <w:rsid w:val="429E3A92"/>
    <w:rsid w:val="43513E70"/>
    <w:rsid w:val="43710C42"/>
    <w:rsid w:val="44473F63"/>
    <w:rsid w:val="46A13D0D"/>
    <w:rsid w:val="48202F7D"/>
    <w:rsid w:val="4B755C0F"/>
    <w:rsid w:val="4E9E31A7"/>
    <w:rsid w:val="526018FE"/>
    <w:rsid w:val="66EA7281"/>
    <w:rsid w:val="6A1D25F8"/>
    <w:rsid w:val="6B856FB2"/>
    <w:rsid w:val="6F644278"/>
    <w:rsid w:val="6FAE17F1"/>
    <w:rsid w:val="750E02B4"/>
    <w:rsid w:val="753C468A"/>
    <w:rsid w:val="7A725956"/>
    <w:rsid w:val="7D7E17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3"/>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24"/>
    <w:qFormat/>
    <w:uiPriority w:val="99"/>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next w:val="1"/>
    <w:link w:val="25"/>
    <w:qFormat/>
    <w:uiPriority w:val="99"/>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1"/>
    <w:next w:val="1"/>
    <w:link w:val="26"/>
    <w:qFormat/>
    <w:uiPriority w:val="99"/>
    <w:pPr>
      <w:widowControl/>
      <w:spacing w:before="100" w:beforeAutospacing="1" w:after="100" w:afterAutospacing="1"/>
      <w:jc w:val="left"/>
      <w:outlineLvl w:val="5"/>
    </w:pPr>
    <w:rPr>
      <w:rFonts w:ascii="宋体" w:hAnsi="宋体" w:cs="宋体"/>
      <w:b/>
      <w:bCs/>
      <w:kern w:val="0"/>
      <w:sz w:val="15"/>
      <w:szCs w:val="15"/>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9"/>
    <w:semiHidden/>
    <w:qFormat/>
    <w:uiPriority w:val="99"/>
    <w:pPr>
      <w:widowControl/>
      <w:jc w:val="left"/>
    </w:pPr>
    <w:rPr>
      <w:rFonts w:ascii="宋体" w:hAnsi="宋体" w:cs="宋体"/>
      <w:i/>
      <w:iCs/>
      <w:kern w:val="0"/>
      <w:sz w:val="24"/>
      <w:szCs w:val="24"/>
    </w:rPr>
  </w:style>
  <w:style w:type="paragraph" w:styleId="9">
    <w:name w:val="Balloon Text"/>
    <w:basedOn w:val="1"/>
    <w:link w:val="41"/>
    <w:semiHidden/>
    <w:qFormat/>
    <w:uiPriority w:val="99"/>
    <w:rPr>
      <w:sz w:val="18"/>
      <w:szCs w:val="18"/>
    </w:rPr>
  </w:style>
  <w:style w:type="paragraph" w:styleId="10">
    <w:name w:val="footer"/>
    <w:basedOn w:val="1"/>
    <w:link w:val="28"/>
    <w:semiHidden/>
    <w:qFormat/>
    <w:uiPriority w:val="99"/>
    <w:pPr>
      <w:tabs>
        <w:tab w:val="center" w:pos="4153"/>
        <w:tab w:val="right" w:pos="8306"/>
      </w:tabs>
      <w:snapToGrid w:val="0"/>
      <w:jc w:val="left"/>
    </w:pPr>
    <w:rPr>
      <w:sz w:val="18"/>
      <w:szCs w:val="18"/>
    </w:rPr>
  </w:style>
  <w:style w:type="paragraph" w:styleId="11">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3">
    <w:name w:val="HTML Preformatted"/>
    <w:basedOn w:val="1"/>
    <w:link w:val="3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99"/>
    <w:rPr>
      <w:rFonts w:cs="Times New Roman"/>
      <w:b/>
      <w:bCs/>
    </w:rPr>
  </w:style>
  <w:style w:type="character" w:styleId="18">
    <w:name w:val="page number"/>
    <w:basedOn w:val="16"/>
    <w:qFormat/>
    <w:uiPriority w:val="99"/>
    <w:rPr>
      <w:rFonts w:cs="Times New Roman"/>
    </w:rPr>
  </w:style>
  <w:style w:type="character" w:styleId="19">
    <w:name w:val="FollowedHyperlink"/>
    <w:basedOn w:val="16"/>
    <w:semiHidden/>
    <w:qFormat/>
    <w:uiPriority w:val="99"/>
    <w:rPr>
      <w:rFonts w:cs="Times New Roman"/>
      <w:color w:val="800080"/>
      <w:u w:val="single"/>
    </w:rPr>
  </w:style>
  <w:style w:type="character" w:styleId="20">
    <w:name w:val="Hyperlink"/>
    <w:basedOn w:val="16"/>
    <w:semiHidden/>
    <w:qFormat/>
    <w:uiPriority w:val="99"/>
    <w:rPr>
      <w:rFonts w:cs="Times New Roman"/>
      <w:color w:val="0000FF"/>
      <w:u w:val="single"/>
    </w:rPr>
  </w:style>
  <w:style w:type="character" w:customStyle="1" w:styleId="21">
    <w:name w:val="标题 1 Char"/>
    <w:basedOn w:val="16"/>
    <w:link w:val="2"/>
    <w:qFormat/>
    <w:locked/>
    <w:uiPriority w:val="99"/>
    <w:rPr>
      <w:rFonts w:ascii="宋体" w:hAnsi="宋体" w:eastAsia="宋体" w:cs="宋体"/>
      <w:b/>
      <w:bCs/>
      <w:kern w:val="36"/>
      <w:sz w:val="48"/>
      <w:szCs w:val="48"/>
    </w:rPr>
  </w:style>
  <w:style w:type="character" w:customStyle="1" w:styleId="22">
    <w:name w:val="标题 2 Char"/>
    <w:basedOn w:val="16"/>
    <w:link w:val="3"/>
    <w:qFormat/>
    <w:locked/>
    <w:uiPriority w:val="99"/>
    <w:rPr>
      <w:rFonts w:ascii="宋体" w:hAnsi="宋体" w:eastAsia="宋体" w:cs="宋体"/>
      <w:b/>
      <w:bCs/>
      <w:kern w:val="0"/>
      <w:sz w:val="36"/>
      <w:szCs w:val="36"/>
    </w:rPr>
  </w:style>
  <w:style w:type="character" w:customStyle="1" w:styleId="23">
    <w:name w:val="标题 3 Char"/>
    <w:basedOn w:val="16"/>
    <w:link w:val="4"/>
    <w:qFormat/>
    <w:locked/>
    <w:uiPriority w:val="99"/>
    <w:rPr>
      <w:rFonts w:ascii="宋体" w:hAnsi="宋体" w:eastAsia="宋体" w:cs="宋体"/>
      <w:b/>
      <w:bCs/>
      <w:kern w:val="0"/>
      <w:sz w:val="27"/>
      <w:szCs w:val="27"/>
    </w:rPr>
  </w:style>
  <w:style w:type="character" w:customStyle="1" w:styleId="24">
    <w:name w:val="标题 4 Char"/>
    <w:basedOn w:val="16"/>
    <w:link w:val="5"/>
    <w:qFormat/>
    <w:locked/>
    <w:uiPriority w:val="99"/>
    <w:rPr>
      <w:rFonts w:ascii="宋体" w:hAnsi="宋体" w:eastAsia="宋体" w:cs="宋体"/>
      <w:b/>
      <w:bCs/>
      <w:kern w:val="0"/>
      <w:sz w:val="24"/>
      <w:szCs w:val="24"/>
    </w:rPr>
  </w:style>
  <w:style w:type="character" w:customStyle="1" w:styleId="25">
    <w:name w:val="标题 5 Char"/>
    <w:basedOn w:val="16"/>
    <w:link w:val="6"/>
    <w:qFormat/>
    <w:locked/>
    <w:uiPriority w:val="99"/>
    <w:rPr>
      <w:rFonts w:ascii="宋体" w:hAnsi="宋体" w:eastAsia="宋体" w:cs="宋体"/>
      <w:b/>
      <w:bCs/>
      <w:kern w:val="0"/>
      <w:sz w:val="20"/>
      <w:szCs w:val="20"/>
    </w:rPr>
  </w:style>
  <w:style w:type="character" w:customStyle="1" w:styleId="26">
    <w:name w:val="标题 6 Char"/>
    <w:basedOn w:val="16"/>
    <w:link w:val="7"/>
    <w:qFormat/>
    <w:locked/>
    <w:uiPriority w:val="99"/>
    <w:rPr>
      <w:rFonts w:ascii="宋体" w:hAnsi="宋体" w:eastAsia="宋体" w:cs="宋体"/>
      <w:b/>
      <w:bCs/>
      <w:kern w:val="0"/>
      <w:sz w:val="15"/>
      <w:szCs w:val="15"/>
    </w:rPr>
  </w:style>
  <w:style w:type="character" w:customStyle="1" w:styleId="27">
    <w:name w:val="页眉 Char"/>
    <w:basedOn w:val="16"/>
    <w:link w:val="11"/>
    <w:semiHidden/>
    <w:qFormat/>
    <w:locked/>
    <w:uiPriority w:val="99"/>
    <w:rPr>
      <w:rFonts w:cs="Times New Roman"/>
      <w:sz w:val="18"/>
      <w:szCs w:val="18"/>
    </w:rPr>
  </w:style>
  <w:style w:type="character" w:customStyle="1" w:styleId="28">
    <w:name w:val="页脚 Char"/>
    <w:basedOn w:val="16"/>
    <w:link w:val="10"/>
    <w:semiHidden/>
    <w:qFormat/>
    <w:locked/>
    <w:uiPriority w:val="99"/>
    <w:rPr>
      <w:rFonts w:cs="Times New Roman"/>
      <w:sz w:val="18"/>
      <w:szCs w:val="18"/>
    </w:rPr>
  </w:style>
  <w:style w:type="character" w:customStyle="1" w:styleId="29">
    <w:name w:val="HTML 地址 Char"/>
    <w:basedOn w:val="16"/>
    <w:link w:val="8"/>
    <w:semiHidden/>
    <w:qFormat/>
    <w:locked/>
    <w:uiPriority w:val="99"/>
    <w:rPr>
      <w:rFonts w:ascii="宋体" w:hAnsi="宋体" w:eastAsia="宋体" w:cs="宋体"/>
      <w:i/>
      <w:iCs/>
      <w:kern w:val="0"/>
      <w:sz w:val="24"/>
      <w:szCs w:val="24"/>
    </w:rPr>
  </w:style>
  <w:style w:type="character" w:customStyle="1" w:styleId="30">
    <w:name w:val="HTML 预设格式 Char"/>
    <w:basedOn w:val="16"/>
    <w:link w:val="13"/>
    <w:semiHidden/>
    <w:qFormat/>
    <w:locked/>
    <w:uiPriority w:val="99"/>
    <w:rPr>
      <w:rFonts w:ascii="宋体" w:hAnsi="宋体" w:eastAsia="宋体" w:cs="宋体"/>
      <w:kern w:val="0"/>
      <w:sz w:val="24"/>
      <w:szCs w:val="24"/>
    </w:rPr>
  </w:style>
  <w:style w:type="paragraph" w:customStyle="1" w:styleId="31">
    <w:name w:val="bold"/>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2">
    <w:name w:val="标题1"/>
    <w:basedOn w:val="1"/>
    <w:qFormat/>
    <w:uiPriority w:val="99"/>
    <w:pPr>
      <w:widowControl/>
      <w:spacing w:before="100" w:beforeAutospacing="1" w:after="100" w:afterAutospacing="1"/>
      <w:jc w:val="left"/>
    </w:pPr>
    <w:rPr>
      <w:rFonts w:ascii="宋体" w:hAnsi="宋体" w:cs="宋体"/>
      <w:b/>
      <w:bCs/>
      <w:color w:val="CC3300"/>
      <w:kern w:val="0"/>
      <w:sz w:val="27"/>
      <w:szCs w:val="27"/>
    </w:rPr>
  </w:style>
  <w:style w:type="paragraph" w:customStyle="1" w:styleId="33">
    <w:name w:val="code"/>
    <w:basedOn w:val="1"/>
    <w:qFormat/>
    <w:uiPriority w:val="99"/>
    <w:pPr>
      <w:widowControl/>
      <w:pBdr>
        <w:top w:val="single" w:color="8B4513" w:sz="6" w:space="0"/>
        <w:left w:val="single" w:color="8B4513" w:sz="6" w:space="4"/>
        <w:bottom w:val="single" w:color="8B4513" w:sz="6" w:space="0"/>
        <w:right w:val="single" w:color="8B4513" w:sz="6" w:space="4"/>
      </w:pBdr>
      <w:shd w:val="clear" w:color="auto" w:fill="FF9933"/>
      <w:spacing w:before="100" w:beforeAutospacing="1" w:after="100" w:afterAutospacing="1"/>
      <w:jc w:val="left"/>
    </w:pPr>
    <w:rPr>
      <w:rFonts w:ascii="Courier New" w:hAnsi="Courier New" w:cs="Courier New"/>
      <w:color w:val="000066"/>
      <w:kern w:val="0"/>
      <w:sz w:val="24"/>
      <w:szCs w:val="24"/>
    </w:rPr>
  </w:style>
  <w:style w:type="paragraph" w:customStyle="1" w:styleId="34">
    <w:name w:val="fck__flash"/>
    <w:basedOn w:val="1"/>
    <w:qFormat/>
    <w:uiPriority w:val="99"/>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cs="宋体"/>
      <w:kern w:val="0"/>
      <w:sz w:val="24"/>
      <w:szCs w:val="24"/>
    </w:rPr>
  </w:style>
  <w:style w:type="paragraph" w:customStyle="1" w:styleId="35">
    <w:name w:val="fck__anchor"/>
    <w:basedOn w:val="1"/>
    <w:qFormat/>
    <w:uiPriority w:val="99"/>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cs="宋体"/>
      <w:kern w:val="0"/>
      <w:sz w:val="24"/>
      <w:szCs w:val="24"/>
    </w:rPr>
  </w:style>
  <w:style w:type="paragraph" w:customStyle="1" w:styleId="36">
    <w:name w:val="fck__anchorc"/>
    <w:basedOn w:val="1"/>
    <w:qFormat/>
    <w:uiPriority w:val="99"/>
    <w:pPr>
      <w:widowControl/>
      <w:pBdr>
        <w:top w:val="dotted" w:color="0000FF" w:sz="6" w:space="0"/>
        <w:left w:val="dotted" w:color="0000FF" w:sz="6" w:space="14"/>
        <w:bottom w:val="dotted" w:color="0000FF" w:sz="6" w:space="0"/>
        <w:right w:val="dotted" w:color="0000FF" w:sz="6" w:space="0"/>
      </w:pBdr>
      <w:spacing w:before="100" w:beforeAutospacing="1" w:after="100" w:afterAutospacing="1"/>
      <w:jc w:val="left"/>
    </w:pPr>
    <w:rPr>
      <w:rFonts w:ascii="宋体" w:hAnsi="宋体" w:cs="宋体"/>
      <w:kern w:val="0"/>
      <w:sz w:val="24"/>
      <w:szCs w:val="24"/>
    </w:rPr>
  </w:style>
  <w:style w:type="paragraph" w:customStyle="1" w:styleId="37">
    <w:name w:val="fck__pagebreak"/>
    <w:basedOn w:val="1"/>
    <w:qFormat/>
    <w:uiPriority w:val="99"/>
    <w:pPr>
      <w:widowControl/>
      <w:pBdr>
        <w:top w:val="dotted" w:color="999999" w:sz="6" w:space="0"/>
        <w:bottom w:val="dotted" w:color="999999" w:sz="6" w:space="0"/>
      </w:pBdr>
      <w:spacing w:before="100" w:beforeAutospacing="1" w:after="100" w:afterAutospacing="1"/>
      <w:jc w:val="left"/>
    </w:pPr>
    <w:rPr>
      <w:rFonts w:ascii="宋体" w:hAnsi="宋体" w:cs="宋体"/>
      <w:kern w:val="0"/>
      <w:sz w:val="24"/>
      <w:szCs w:val="24"/>
    </w:rPr>
  </w:style>
  <w:style w:type="paragraph" w:customStyle="1" w:styleId="38">
    <w:name w:val="fck__inputhidden"/>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39">
    <w:name w:val="fck__media"/>
    <w:basedOn w:val="1"/>
    <w:qFormat/>
    <w:uiPriority w:val="99"/>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cs="宋体"/>
      <w:kern w:val="0"/>
      <w:sz w:val="24"/>
      <w:szCs w:val="24"/>
    </w:rPr>
  </w:style>
  <w:style w:type="character" w:customStyle="1" w:styleId="40">
    <w:name w:val="ask-title2"/>
    <w:basedOn w:val="16"/>
    <w:qFormat/>
    <w:uiPriority w:val="99"/>
    <w:rPr>
      <w:rFonts w:cs="Times New Roman"/>
    </w:rPr>
  </w:style>
  <w:style w:type="character" w:customStyle="1" w:styleId="41">
    <w:name w:val="批注框文本 Char"/>
    <w:basedOn w:val="16"/>
    <w:link w:val="9"/>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FE520-5D0F-4C11-8FD3-845A7BE025AA}">
  <ds:schemaRefs/>
</ds:datastoreItem>
</file>

<file path=docProps/app.xml><?xml version="1.0" encoding="utf-8"?>
<Properties xmlns="http://schemas.openxmlformats.org/officeDocument/2006/extended-properties" xmlns:vt="http://schemas.openxmlformats.org/officeDocument/2006/docPropsVTypes">
  <Template>Normal</Template>
  <Company>fulong</Company>
  <Pages>30</Pages>
  <Words>1506</Words>
  <Characters>8586</Characters>
  <Lines>71</Lines>
  <Paragraphs>20</Paragraphs>
  <TotalTime>11</TotalTime>
  <ScaleCrop>false</ScaleCrop>
  <LinksUpToDate>false</LinksUpToDate>
  <CharactersWithSpaces>10072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2021-07-21T02:45:00Z</dcterms:created>
  <dc:creator>大奖</dc:creator>
  <cp:lastModifiedBy>曹世翔</cp:lastModifiedBy>
  <cp:lastPrinted>2021-07-22T06:37:00Z</cp:lastPrinted>
  <dcterms:modified xsi:type="dcterms:W3CDTF">2021-08-04T06:12:01Z</dcterms:modified>
  <dc:title>中国工业大奖</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BAA072D2B52C4EF4B16E3CC79F420047</vt:lpwstr>
  </property>
</Properties>
</file>